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仿宋_GB2312" w:hAnsi="仿宋_GB2312" w:cs="仿宋_GB231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关于《吉林省松花江流域水环境保护条例</w:t>
      </w:r>
    </w:p>
    <w:p>
      <w:pPr>
        <w:widowControl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（征求意见稿）》</w:t>
      </w:r>
      <w:r>
        <w:rPr>
          <w:rFonts w:hint="eastAsia" w:ascii="方正小标宋简体" w:hAnsi="方正小标宋简体" w:eastAsia="方正小标宋简体" w:cs="方正小标宋简体"/>
          <w:sz w:val="44"/>
          <w:szCs w:val="44"/>
          <w:lang w:eastAsia="zh-CN"/>
        </w:rPr>
        <w:t>文件解读</w:t>
      </w:r>
    </w:p>
    <w:p>
      <w:pPr>
        <w:widowControl w:val="0"/>
        <w:ind w:firstLine="640" w:firstLineChars="200"/>
        <w:rPr>
          <w:rFonts w:ascii="仿宋_GB2312" w:hAnsi="仿宋_GB2312" w:cs="仿宋_GB2312"/>
          <w:szCs w:val="32"/>
        </w:rPr>
      </w:pPr>
    </w:p>
    <w:p>
      <w:pPr>
        <w:spacing w:line="600" w:lineRule="exact"/>
        <w:ind w:firstLine="640" w:firstLineChars="200"/>
        <w:contextualSpacing/>
        <w:outlineLvl w:val="0"/>
        <w:rPr>
          <w:rFonts w:hint="eastAsia" w:ascii="仿宋_GB2312" w:eastAsia="仿宋_GB2312"/>
          <w:sz w:val="32"/>
          <w:szCs w:val="32"/>
        </w:rPr>
      </w:pPr>
      <w:r>
        <w:rPr>
          <w:rFonts w:ascii="仿宋_GB2312" w:hAnsi="仿宋_GB2312" w:eastAsia="仿宋_GB2312" w:cs="仿宋_GB2312"/>
          <w:kern w:val="0"/>
          <w:sz w:val="32"/>
          <w:szCs w:val="32"/>
        </w:rPr>
        <w:t>吉林省生态环境厅起草了《</w:t>
      </w:r>
      <w:r>
        <w:rPr>
          <w:rFonts w:hint="eastAsia" w:ascii="仿宋_GB2312" w:hAnsi="仿宋_GB2312" w:eastAsia="仿宋_GB2312" w:cs="仿宋_GB2312"/>
          <w:kern w:val="0"/>
          <w:sz w:val="32"/>
          <w:szCs w:val="32"/>
        </w:rPr>
        <w:t>吉林省松花江流域水环境保护条例</w:t>
      </w:r>
      <w:r>
        <w:rPr>
          <w:rFonts w:ascii="仿宋_GB2312" w:hAnsi="仿宋_GB2312" w:eastAsia="仿宋_GB2312" w:cs="仿宋_GB2312"/>
          <w:kern w:val="0"/>
          <w:sz w:val="32"/>
          <w:szCs w:val="32"/>
        </w:rPr>
        <w:t>》（征求意见稿），</w:t>
      </w:r>
      <w:r>
        <w:rPr>
          <w:rFonts w:hint="eastAsia" w:ascii="仿宋_GB2312" w:hAnsi="仿宋_GB2312" w:eastAsia="仿宋_GB2312" w:cs="仿宋_GB2312"/>
          <w:kern w:val="0"/>
          <w:sz w:val="32"/>
          <w:szCs w:val="32"/>
        </w:rPr>
        <w:t>现向社会公开征求意见。按照相关要求，作以下解读</w:t>
      </w:r>
      <w:r>
        <w:rPr>
          <w:rFonts w:hint="eastAsia" w:ascii="仿宋_GB2312" w:eastAsia="仿宋_GB2312"/>
          <w:sz w:val="32"/>
          <w:szCs w:val="32"/>
        </w:rPr>
        <w:t>：</w:t>
      </w:r>
    </w:p>
    <w:p>
      <w:pPr>
        <w:widowControl w:val="0"/>
        <w:ind w:firstLine="640" w:firstLineChars="200"/>
        <w:rPr>
          <w:rFonts w:ascii="黑体" w:hAnsi="黑体" w:eastAsia="黑体" w:cs="黑体"/>
          <w:szCs w:val="32"/>
        </w:rPr>
      </w:pPr>
      <w:r>
        <w:rPr>
          <w:rFonts w:hint="eastAsia" w:ascii="黑体" w:hAnsi="黑体" w:eastAsia="黑体" w:cs="黑体"/>
          <w:szCs w:val="32"/>
        </w:rPr>
        <w:t>一、修订背景和过程</w:t>
      </w:r>
    </w:p>
    <w:p>
      <w:pPr>
        <w:ind w:firstLine="640" w:firstLineChars="200"/>
        <w:jc w:val="left"/>
        <w:rPr>
          <w:rFonts w:ascii="仿宋_GB2312" w:hAnsi="仿宋_GB2312" w:cs="仿宋_GB2312"/>
          <w:szCs w:val="32"/>
        </w:rPr>
      </w:pPr>
      <w:r>
        <w:rPr>
          <w:rFonts w:hint="eastAsia" w:ascii="仿宋_GB2312" w:hAnsi="仿宋_GB2312" w:cs="仿宋_GB2312"/>
          <w:szCs w:val="32"/>
        </w:rPr>
        <w:t>为进一步加强松花江流域水环境保护，规范流域水生态环境的监督管理，建立健全法律责任体系，落实水生态环境管理主体责任，推进流域水生态环境保护与高质量协同发展，2022年我厅启动了《松花江水污染防治条例》修订工作。2</w:t>
      </w:r>
      <w:r>
        <w:rPr>
          <w:rFonts w:ascii="仿宋_GB2312" w:hAnsi="仿宋_GB2312" w:cs="仿宋_GB2312"/>
          <w:szCs w:val="32"/>
        </w:rPr>
        <w:t>023年7月召开的全国生态环境保护大会上，习近平总书记指出，要强化法治保障，统筹推进生态环境、资源能源等领域相关法律制修订，实施最严格的地上地下、陆海统筹、区域联动的生态环境治理制度；从解决突出生态环境问题入手，注重点面结合、标本兼治，实现由重点整治到系统治理的重大转变。</w:t>
      </w:r>
      <w:r>
        <w:rPr>
          <w:rFonts w:hint="eastAsia" w:ascii="仿宋_GB2312" w:hAnsi="仿宋_GB2312" w:cs="仿宋_GB2312"/>
          <w:szCs w:val="32"/>
        </w:rPr>
        <w:t>为更好强化水资源、水生态、水环境“三水统筹”系统治理理念，实现“有河有水”、“有草有鱼”、“人水和谐”的水生态环境，</w:t>
      </w:r>
      <w:r>
        <w:rPr>
          <w:rFonts w:hint="eastAsia" w:ascii="仿宋_GB2312" w:hAnsi="仿宋_GB2312" w:cs="仿宋_GB2312"/>
          <w:szCs w:val="32"/>
          <w:lang w:val="en"/>
        </w:rPr>
        <w:t>此次修订将</w:t>
      </w:r>
      <w:r>
        <w:rPr>
          <w:rFonts w:hint="eastAsia" w:ascii="仿宋_GB2312" w:hAnsi="仿宋_GB2312" w:cs="仿宋_GB2312"/>
          <w:szCs w:val="32"/>
        </w:rPr>
        <w:t>《松花江水污染防治条例》更名为《吉林省松花江流域水环境保护条例(草案)》（以下简称《条例》），将“三水统筹”有关内容纳入《条例》中。我厅于2022年8月与吉林大学签订委托协议，聘请相关法律专家参与《条例》的修订工作。</w:t>
      </w:r>
    </w:p>
    <w:p>
      <w:pPr>
        <w:widowControl w:val="0"/>
        <w:ind w:firstLine="627" w:firstLineChars="196"/>
        <w:rPr>
          <w:rFonts w:ascii="黑体" w:hAnsi="黑体" w:eastAsia="黑体" w:cs="黑体"/>
          <w:kern w:val="0"/>
          <w:szCs w:val="32"/>
        </w:rPr>
      </w:pPr>
      <w:r>
        <w:rPr>
          <w:rFonts w:hint="eastAsia" w:ascii="黑体" w:hAnsi="黑体" w:eastAsia="黑体" w:cs="黑体"/>
          <w:kern w:val="0"/>
          <w:szCs w:val="32"/>
        </w:rPr>
        <w:t>二、主要修订内容</w:t>
      </w:r>
    </w:p>
    <w:p>
      <w:pPr>
        <w:widowControl w:val="0"/>
        <w:tabs>
          <w:tab w:val="left" w:pos="2517"/>
        </w:tabs>
        <w:ind w:firstLine="640" w:firstLineChars="200"/>
        <w:jc w:val="left"/>
        <w:rPr>
          <w:rFonts w:ascii="仿宋_GB2312" w:hAnsi="仿宋_GB2312" w:cs="仿宋_GB2312"/>
          <w:szCs w:val="32"/>
        </w:rPr>
      </w:pPr>
      <w:r>
        <w:rPr>
          <w:rFonts w:hint="eastAsia" w:ascii="仿宋_GB2312" w:hAnsi="黑体"/>
          <w:szCs w:val="32"/>
        </w:rPr>
        <w:t>《条例》共8章9</w:t>
      </w:r>
      <w:r>
        <w:rPr>
          <w:rFonts w:ascii="仿宋_GB2312" w:hAnsi="黑体"/>
          <w:szCs w:val="32"/>
        </w:rPr>
        <w:t>2</w:t>
      </w:r>
      <w:r>
        <w:rPr>
          <w:rFonts w:hint="eastAsia" w:ascii="仿宋_GB2312" w:hAnsi="黑体"/>
          <w:szCs w:val="32"/>
        </w:rPr>
        <w:t>条，包括：</w:t>
      </w:r>
      <w:r>
        <w:rPr>
          <w:rFonts w:ascii="仿宋_GB2312" w:hAnsi="黑体"/>
          <w:szCs w:val="32"/>
        </w:rPr>
        <w:t xml:space="preserve"> </w:t>
      </w:r>
      <w:r>
        <w:rPr>
          <w:rFonts w:hint="eastAsia" w:ascii="仿宋_GB2312" w:hAnsi="仿宋_GB2312" w:cs="仿宋_GB2312"/>
          <w:szCs w:val="32"/>
        </w:rPr>
        <w:t>总则、规划与管理、水资源节约集约利用、水污染防治、生态保护与修复、高质量发展、法律责任、附则等部分内容。</w:t>
      </w:r>
      <w:r>
        <w:rPr>
          <w:rFonts w:hint="eastAsia" w:ascii="仿宋_GB2312" w:hAnsi="黑体"/>
          <w:szCs w:val="32"/>
        </w:rPr>
        <w:t>主要内容</w:t>
      </w:r>
      <w:r>
        <w:rPr>
          <w:rFonts w:hint="eastAsia" w:ascii="仿宋_GB2312" w:hAnsi="黑体"/>
          <w:szCs w:val="32"/>
          <w:lang w:eastAsia="zh-CN"/>
        </w:rPr>
        <w:t>包含</w:t>
      </w:r>
      <w:r>
        <w:rPr>
          <w:rFonts w:hint="eastAsia" w:ascii="仿宋_GB2312" w:hAnsi="黑体"/>
          <w:szCs w:val="32"/>
        </w:rPr>
        <w:t>：</w:t>
      </w:r>
    </w:p>
    <w:p>
      <w:pPr>
        <w:widowControl w:val="0"/>
        <w:ind w:firstLine="629" w:firstLineChars="196"/>
        <w:rPr>
          <w:rFonts w:ascii="仿宋_GB2312" w:hAnsi="仿宋_GB2312" w:cs="仿宋_GB2312"/>
          <w:szCs w:val="32"/>
        </w:rPr>
      </w:pPr>
      <w:r>
        <w:rPr>
          <w:rFonts w:hint="eastAsia" w:ascii="仿宋_GB2312" w:hAnsi="仿宋_GB2312" w:cs="仿宋_GB2312"/>
          <w:b/>
          <w:bCs/>
          <w:szCs w:val="32"/>
        </w:rPr>
        <w:t>（一）明确了松花江流域水环境保护的政府职责</w:t>
      </w:r>
      <w:r>
        <w:rPr>
          <w:rFonts w:hint="eastAsia" w:ascii="仿宋_GB2312" w:hAnsi="仿宋_GB2312" w:cs="仿宋_GB2312"/>
          <w:szCs w:val="32"/>
        </w:rPr>
        <w:t>。政府层面，县级以上人民政府负责本行政区域内流域水生态环境保护和高质量发展工作，加强流域水生态环境保护工作的组织领导，研究流域水生态环境保护的重大问题和有关问题；乡（镇）人民政府、街道办事处在县级人民政府有关主管部门指导下，落实本区域内流域水生态环境保护和高质量发展的相关工作；鼓励村（居）民委员会通过村规民约规范村（居）民行为，配合各级人民政府及其有关部门做好流域水生态环境保护工作；各级河（湖）长按照法律法规及有关规定履行河道、湖泊管理和保护相关工作职责。政府各部门层面，规定生态环境主管部门对本行政区域内流域水生态环境保护实施统一监督管理，其他有关部门在各自的职责范围内，负责本行政区域内流域水生态环境保护和高质量发展的相关工作。</w:t>
      </w:r>
    </w:p>
    <w:p>
      <w:pPr>
        <w:widowControl w:val="0"/>
        <w:ind w:firstLine="629" w:firstLineChars="196"/>
        <w:rPr>
          <w:rFonts w:ascii="宋体" w:hAnsi="宋体" w:eastAsia="宋体"/>
          <w:szCs w:val="32"/>
        </w:rPr>
      </w:pPr>
      <w:r>
        <w:rPr>
          <w:rFonts w:hint="eastAsia" w:ascii="仿宋_GB2312" w:hAnsi="仿宋_GB2312" w:cs="仿宋_GB2312"/>
          <w:b/>
          <w:bCs/>
          <w:szCs w:val="32"/>
        </w:rPr>
        <w:t>（二）明确水资源节约集约利用要求，合理布局三生用水。</w:t>
      </w:r>
      <w:r>
        <w:rPr>
          <w:rFonts w:hint="eastAsia" w:ascii="仿宋_GB2312" w:hAnsi="仿宋_GB2312" w:cs="仿宋_GB2312"/>
          <w:szCs w:val="32"/>
        </w:rPr>
        <w:t>规定县级以上人民政府应当严格执行用水总量、用水效率、水功能区限制纳污等水资源管理制度，合理分配、调度和利用水资源，优先保障生活用水，统筹兼顾生产和生产用水需求，保障基本生态用水，并从水资源分配、取水要求、工业节水、农业节水、企业节水、城市节水、饮用水水资源地、地下水资源保护等层面进行相关制度设计和规范水资源利用行为。</w:t>
      </w:r>
    </w:p>
    <w:p>
      <w:pPr>
        <w:widowControl w:val="0"/>
        <w:ind w:firstLine="629" w:firstLineChars="196"/>
        <w:rPr>
          <w:rFonts w:ascii="仿宋_GB2312" w:hAnsi="仿宋_GB2312" w:cs="仿宋_GB2312"/>
          <w:szCs w:val="32"/>
        </w:rPr>
      </w:pPr>
      <w:r>
        <w:rPr>
          <w:rFonts w:hint="eastAsia" w:ascii="仿宋_GB2312" w:hAnsi="仿宋_GB2312" w:cs="仿宋_GB2312"/>
          <w:b/>
          <w:bCs/>
          <w:szCs w:val="32"/>
        </w:rPr>
        <w:t>（三）明确水污染防治要求，加大流域水污染治理力度。</w:t>
      </w:r>
      <w:r>
        <w:rPr>
          <w:rFonts w:hint="eastAsia" w:ascii="仿宋_GB2312" w:hAnsi="仿宋_GB2312" w:cs="仿宋_GB2312"/>
          <w:szCs w:val="32"/>
        </w:rPr>
        <w:t>规定加强流域工业污染、农业面源污染、城乡生活污染等的综合治理、系统治理、源头治理，推进松花湖、向海、莫莫格、查干湖等重点河湖环境综合整治，加大流域水污染监管力度，预防、控制和减少水环境污染。并从环境影响评价、三同时、排污许可、总量控制、约谈限批、排污口设置、环境监测、台账、环境信息公开、应急管理等方面进行排污行为和环境管理行为进行规划。此外，还对农业污染防治、畜禽养殖污染防治、城镇污水处理、污泥处置、雨污分流、生活污水与生活垃圾污染防治、土壤污染防治、有毒有害化学物质污染防治、新污染物污染防治、河道废弃物清理等进行明确规定。</w:t>
      </w:r>
    </w:p>
    <w:p>
      <w:pPr>
        <w:widowControl w:val="0"/>
        <w:ind w:firstLine="629" w:firstLineChars="196"/>
        <w:rPr>
          <w:rFonts w:ascii="仿宋_GB2312" w:hAnsi="仿宋_GB2312" w:cs="仿宋_GB2312"/>
          <w:szCs w:val="32"/>
        </w:rPr>
      </w:pPr>
      <w:r>
        <w:rPr>
          <w:rFonts w:hint="eastAsia" w:ascii="仿宋_GB2312" w:hAnsi="仿宋_GB2312" w:cs="仿宋_GB2312"/>
          <w:b/>
          <w:bCs/>
          <w:szCs w:val="32"/>
        </w:rPr>
        <w:t>（四）构建生态保护长效机制，推进山水林田湖草沙一体化保护与修复。</w:t>
      </w:r>
      <w:r>
        <w:rPr>
          <w:rFonts w:hint="eastAsia" w:ascii="仿宋_GB2312" w:hAnsi="仿宋_GB2312" w:cs="仿宋_GB2312"/>
          <w:szCs w:val="32"/>
        </w:rPr>
        <w:t>规定县级以上人民政府及其有关部门应当加强流域生态保护与修复，坚持山水林田湖草沙一体化保护与修复，实行自然恢复为主、自然恢复与人工修复相结合的系统治理，建立健全生态保护长效机制，维护生态环境稳定，提升生态环境质量。加强</w:t>
      </w:r>
      <w:r>
        <w:rPr>
          <w:rFonts w:ascii="仿宋_GB2312" w:hAnsi="仿宋_GB2312" w:cs="仿宋_GB2312"/>
          <w:szCs w:val="32"/>
        </w:rPr>
        <w:t>长白山</w:t>
      </w:r>
      <w:r>
        <w:rPr>
          <w:rFonts w:hint="eastAsia" w:ascii="仿宋_GB2312" w:hAnsi="仿宋_GB2312" w:cs="仿宋_GB2312"/>
          <w:szCs w:val="32"/>
        </w:rPr>
        <w:t>三江源</w:t>
      </w:r>
      <w:r>
        <w:rPr>
          <w:rFonts w:ascii="仿宋_GB2312" w:hAnsi="仿宋_GB2312" w:cs="仿宋_GB2312"/>
          <w:szCs w:val="32"/>
        </w:rPr>
        <w:t>及</w:t>
      </w:r>
      <w:r>
        <w:rPr>
          <w:rFonts w:hint="eastAsia" w:ascii="仿宋_GB2312" w:hAnsi="仿宋_GB2312" w:cs="仿宋_GB2312"/>
          <w:szCs w:val="32"/>
        </w:rPr>
        <w:t>主要</w:t>
      </w:r>
      <w:r>
        <w:rPr>
          <w:rFonts w:ascii="仿宋_GB2312" w:hAnsi="仿宋_GB2312" w:cs="仿宋_GB2312"/>
          <w:szCs w:val="32"/>
        </w:rPr>
        <w:t>江河源头区水源涵养</w:t>
      </w:r>
      <w:r>
        <w:rPr>
          <w:rFonts w:hint="eastAsia" w:ascii="仿宋_GB2312" w:hAnsi="仿宋_GB2312" w:cs="仿宋_GB2312"/>
          <w:szCs w:val="32"/>
        </w:rPr>
        <w:t>建设，加大对松花江、饮马河、伊通河、新凯河、辉发河等干流和支流源头、水源涵养区的森林、草原、湿地等的保护力度，并从人工湿地、水土流失治理、生态基流保障、水生生物多样性保护、农田复垦、矿山修复、岸线保护等方面进行相关规定，预防流域内水土流失、保障重点河湖生态流量、增加生物多样性、推进矿山修复治理、</w:t>
      </w:r>
      <w:r>
        <w:rPr>
          <w:rFonts w:ascii="仿宋_GB2312" w:hAnsi="仿宋_GB2312" w:cs="仿宋_GB2312"/>
          <w:szCs w:val="32"/>
        </w:rPr>
        <w:t>建设集防洪、生态保护等功能一体</w:t>
      </w:r>
      <w:r>
        <w:rPr>
          <w:rFonts w:hint="eastAsia" w:ascii="仿宋_GB2312" w:hAnsi="仿宋_GB2312" w:cs="仿宋_GB2312"/>
          <w:szCs w:val="32"/>
        </w:rPr>
        <w:t>化</w:t>
      </w:r>
      <w:r>
        <w:rPr>
          <w:rFonts w:ascii="仿宋_GB2312" w:hAnsi="仿宋_GB2312" w:cs="仿宋_GB2312"/>
          <w:szCs w:val="32"/>
        </w:rPr>
        <w:t>的绿色生态走廊。</w:t>
      </w:r>
    </w:p>
    <w:p>
      <w:pPr>
        <w:widowControl w:val="0"/>
        <w:ind w:firstLine="629" w:firstLineChars="196"/>
        <w:rPr>
          <w:rFonts w:ascii="仿宋_GB2312" w:hAnsi="仿宋_GB2312" w:cs="仿宋_GB2312"/>
          <w:szCs w:val="32"/>
        </w:rPr>
      </w:pPr>
      <w:r>
        <w:rPr>
          <w:rFonts w:hint="eastAsia" w:ascii="仿宋_GB2312" w:hAnsi="仿宋_GB2312" w:cs="仿宋_GB2312"/>
          <w:b/>
          <w:bCs/>
          <w:szCs w:val="32"/>
        </w:rPr>
        <w:t>（五）推进发展方式绿色转型，促进流域高质量发展。</w:t>
      </w:r>
      <w:r>
        <w:rPr>
          <w:rFonts w:hint="eastAsia" w:ascii="仿宋_GB2312" w:hAnsi="仿宋_GB2312" w:cs="仿宋_GB2312"/>
          <w:szCs w:val="32"/>
        </w:rPr>
        <w:t>规定坚持新发展理念，以生态保护为前提优化调整区域经济和生产力布局，加快发展方式绿色转型。县级以上人民政府及其有关部门应当协同推进流域水生态环境保护和高质量发展战略与乡村振兴战略、新型城镇化战略等区域协调发展战略的实施，统筹城乡基础设施建设和产业发展，改善城乡人居环境，健全基本公共服务体系，促进城乡融合发展。并从城镇开发管控、产业结构和布局、产业升级、</w:t>
      </w:r>
      <w:r>
        <w:rPr>
          <w:rFonts w:ascii="仿宋_GB2312" w:hAnsi="仿宋_GB2312" w:cs="仿宋_GB2312"/>
          <w:szCs w:val="32"/>
        </w:rPr>
        <w:t>绿色发展评估</w:t>
      </w:r>
      <w:r>
        <w:rPr>
          <w:rFonts w:hint="eastAsia" w:ascii="仿宋_GB2312" w:hAnsi="仿宋_GB2312" w:cs="仿宋_GB2312"/>
          <w:szCs w:val="32"/>
        </w:rPr>
        <w:t>、双碳、现代农业转型、美丽乡村建设等方面进行优化升级产业和推进绿色转型。</w:t>
      </w:r>
    </w:p>
    <w:p>
      <w:pPr>
        <w:widowControl w:val="0"/>
        <w:ind w:firstLine="640" w:firstLineChars="200"/>
        <w:rPr>
          <w:rFonts w:ascii="仿宋_GB2312" w:hAnsi="仿宋_GB2312" w:cs="仿宋_GB2312"/>
          <w:szCs w:val="32"/>
        </w:rPr>
      </w:pPr>
      <w:bookmarkStart w:id="0" w:name="_GoBack"/>
      <w:bookmarkEnd w:id="0"/>
    </w:p>
    <w:p>
      <w:pPr>
        <w:widowControl w:val="0"/>
        <w:rPr>
          <w:rFonts w:ascii="仿宋_GB2312" w:hAnsi="仿宋_GB2312" w:cs="仿宋_GB2312"/>
          <w:szCs w:val="32"/>
        </w:rPr>
      </w:pPr>
    </w:p>
    <w:sectPr>
      <w:footerReference r:id="rId5" w:type="default"/>
      <w:pgSz w:w="11906" w:h="16838"/>
      <w:pgMar w:top="1418" w:right="1418" w:bottom="1418" w:left="1418"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长城大标宋体">
    <w:panose1 w:val="02010609010101010101"/>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2787116"/>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HorizontalSpacing w:val="160"/>
  <w:drawingGridVerticalSpacing w:val="435"/>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ODY1NTNhMzJlY2U0MzMyZDIzNzI1MzJkOTI5YjYifQ=="/>
  </w:docVars>
  <w:rsids>
    <w:rsidRoot w:val="000257DC"/>
    <w:rsid w:val="000003C8"/>
    <w:rsid w:val="00001B66"/>
    <w:rsid w:val="00007CA6"/>
    <w:rsid w:val="00011259"/>
    <w:rsid w:val="00021AA1"/>
    <w:rsid w:val="00023D28"/>
    <w:rsid w:val="000244E5"/>
    <w:rsid w:val="00024D9E"/>
    <w:rsid w:val="000257DC"/>
    <w:rsid w:val="00026DCE"/>
    <w:rsid w:val="00033A80"/>
    <w:rsid w:val="00041E89"/>
    <w:rsid w:val="00044A19"/>
    <w:rsid w:val="00057728"/>
    <w:rsid w:val="000627E1"/>
    <w:rsid w:val="000702EC"/>
    <w:rsid w:val="00084982"/>
    <w:rsid w:val="00084C79"/>
    <w:rsid w:val="00086DD0"/>
    <w:rsid w:val="00095EE7"/>
    <w:rsid w:val="000A26DC"/>
    <w:rsid w:val="000B149A"/>
    <w:rsid w:val="000B42AE"/>
    <w:rsid w:val="000C08F3"/>
    <w:rsid w:val="000C3F68"/>
    <w:rsid w:val="000D3429"/>
    <w:rsid w:val="000D3FBE"/>
    <w:rsid w:val="000D4698"/>
    <w:rsid w:val="000D5396"/>
    <w:rsid w:val="000F616F"/>
    <w:rsid w:val="0010279E"/>
    <w:rsid w:val="00106CD4"/>
    <w:rsid w:val="001078F0"/>
    <w:rsid w:val="001113EC"/>
    <w:rsid w:val="001114E4"/>
    <w:rsid w:val="001115A5"/>
    <w:rsid w:val="00112CF4"/>
    <w:rsid w:val="00120704"/>
    <w:rsid w:val="001215D6"/>
    <w:rsid w:val="00124E69"/>
    <w:rsid w:val="00127C63"/>
    <w:rsid w:val="001351B6"/>
    <w:rsid w:val="00135308"/>
    <w:rsid w:val="00135EF2"/>
    <w:rsid w:val="001364CE"/>
    <w:rsid w:val="00137139"/>
    <w:rsid w:val="00145537"/>
    <w:rsid w:val="0014570E"/>
    <w:rsid w:val="00151CAD"/>
    <w:rsid w:val="00165F9A"/>
    <w:rsid w:val="00166B35"/>
    <w:rsid w:val="001730F4"/>
    <w:rsid w:val="00173F18"/>
    <w:rsid w:val="00186AB9"/>
    <w:rsid w:val="00186DB6"/>
    <w:rsid w:val="0018746B"/>
    <w:rsid w:val="001A4B5E"/>
    <w:rsid w:val="001B0758"/>
    <w:rsid w:val="001B1E90"/>
    <w:rsid w:val="001B29CA"/>
    <w:rsid w:val="001B3F37"/>
    <w:rsid w:val="001B5C56"/>
    <w:rsid w:val="001C2516"/>
    <w:rsid w:val="001D5A84"/>
    <w:rsid w:val="001D6F1D"/>
    <w:rsid w:val="001E175B"/>
    <w:rsid w:val="001E278F"/>
    <w:rsid w:val="001F5472"/>
    <w:rsid w:val="00201392"/>
    <w:rsid w:val="00202720"/>
    <w:rsid w:val="00210643"/>
    <w:rsid w:val="00211FB5"/>
    <w:rsid w:val="00214C38"/>
    <w:rsid w:val="00230A26"/>
    <w:rsid w:val="00233387"/>
    <w:rsid w:val="002338EC"/>
    <w:rsid w:val="00237C92"/>
    <w:rsid w:val="002451FA"/>
    <w:rsid w:val="002509B2"/>
    <w:rsid w:val="00253E05"/>
    <w:rsid w:val="00257655"/>
    <w:rsid w:val="00273502"/>
    <w:rsid w:val="002745F7"/>
    <w:rsid w:val="00276F50"/>
    <w:rsid w:val="002815FD"/>
    <w:rsid w:val="002853E4"/>
    <w:rsid w:val="00285A1F"/>
    <w:rsid w:val="00291674"/>
    <w:rsid w:val="0029511A"/>
    <w:rsid w:val="00296186"/>
    <w:rsid w:val="002A217D"/>
    <w:rsid w:val="002A30DA"/>
    <w:rsid w:val="002A6C2C"/>
    <w:rsid w:val="002B2A5B"/>
    <w:rsid w:val="002B7CEE"/>
    <w:rsid w:val="002C355F"/>
    <w:rsid w:val="002C4D98"/>
    <w:rsid w:val="002C7846"/>
    <w:rsid w:val="002D0764"/>
    <w:rsid w:val="002D0C9A"/>
    <w:rsid w:val="002E2083"/>
    <w:rsid w:val="002E6F97"/>
    <w:rsid w:val="003112F9"/>
    <w:rsid w:val="003136E6"/>
    <w:rsid w:val="00314C7E"/>
    <w:rsid w:val="00325030"/>
    <w:rsid w:val="00343184"/>
    <w:rsid w:val="00344807"/>
    <w:rsid w:val="003467B0"/>
    <w:rsid w:val="003617B5"/>
    <w:rsid w:val="0036694A"/>
    <w:rsid w:val="003705A5"/>
    <w:rsid w:val="0037317A"/>
    <w:rsid w:val="00374FCF"/>
    <w:rsid w:val="00380A95"/>
    <w:rsid w:val="003814EF"/>
    <w:rsid w:val="003A56EF"/>
    <w:rsid w:val="003A5C06"/>
    <w:rsid w:val="003A711E"/>
    <w:rsid w:val="003B2FF1"/>
    <w:rsid w:val="003C23AA"/>
    <w:rsid w:val="003C5F87"/>
    <w:rsid w:val="003D0A5B"/>
    <w:rsid w:val="003F2DD0"/>
    <w:rsid w:val="003F7C7F"/>
    <w:rsid w:val="00403E22"/>
    <w:rsid w:val="004062A6"/>
    <w:rsid w:val="0040694B"/>
    <w:rsid w:val="00410969"/>
    <w:rsid w:val="00414E4D"/>
    <w:rsid w:val="00425120"/>
    <w:rsid w:val="004309CF"/>
    <w:rsid w:val="00447A98"/>
    <w:rsid w:val="00455332"/>
    <w:rsid w:val="00457D2A"/>
    <w:rsid w:val="00462600"/>
    <w:rsid w:val="004664A4"/>
    <w:rsid w:val="00472ED3"/>
    <w:rsid w:val="00475B51"/>
    <w:rsid w:val="00491267"/>
    <w:rsid w:val="004C597C"/>
    <w:rsid w:val="004C659B"/>
    <w:rsid w:val="004D1B2C"/>
    <w:rsid w:val="004D232A"/>
    <w:rsid w:val="004D44DA"/>
    <w:rsid w:val="004E0B12"/>
    <w:rsid w:val="004E6885"/>
    <w:rsid w:val="004F032B"/>
    <w:rsid w:val="004F3E68"/>
    <w:rsid w:val="0050460D"/>
    <w:rsid w:val="00512D69"/>
    <w:rsid w:val="00523CDB"/>
    <w:rsid w:val="005246FB"/>
    <w:rsid w:val="00534D8F"/>
    <w:rsid w:val="00544923"/>
    <w:rsid w:val="0056685B"/>
    <w:rsid w:val="00572388"/>
    <w:rsid w:val="005763AD"/>
    <w:rsid w:val="00584040"/>
    <w:rsid w:val="00593E11"/>
    <w:rsid w:val="00596B0E"/>
    <w:rsid w:val="005978C0"/>
    <w:rsid w:val="005A1C77"/>
    <w:rsid w:val="005A4829"/>
    <w:rsid w:val="005A529B"/>
    <w:rsid w:val="005A53A4"/>
    <w:rsid w:val="005B3BA5"/>
    <w:rsid w:val="005B6D6E"/>
    <w:rsid w:val="005C2979"/>
    <w:rsid w:val="005D7446"/>
    <w:rsid w:val="005E1AAC"/>
    <w:rsid w:val="005F02F4"/>
    <w:rsid w:val="005F332A"/>
    <w:rsid w:val="005F4628"/>
    <w:rsid w:val="005F4C9A"/>
    <w:rsid w:val="005F5FE9"/>
    <w:rsid w:val="0060282C"/>
    <w:rsid w:val="00607F71"/>
    <w:rsid w:val="0061004B"/>
    <w:rsid w:val="00611DA8"/>
    <w:rsid w:val="00615C70"/>
    <w:rsid w:val="0062107B"/>
    <w:rsid w:val="00624503"/>
    <w:rsid w:val="00624B66"/>
    <w:rsid w:val="006259A5"/>
    <w:rsid w:val="0063146C"/>
    <w:rsid w:val="00647190"/>
    <w:rsid w:val="00651BA0"/>
    <w:rsid w:val="006555BF"/>
    <w:rsid w:val="00662DD7"/>
    <w:rsid w:val="00664B67"/>
    <w:rsid w:val="006727C6"/>
    <w:rsid w:val="00676BAE"/>
    <w:rsid w:val="006A5061"/>
    <w:rsid w:val="006A793B"/>
    <w:rsid w:val="006B39DB"/>
    <w:rsid w:val="006B3FAC"/>
    <w:rsid w:val="006B7C9B"/>
    <w:rsid w:val="006C213E"/>
    <w:rsid w:val="006C5DF7"/>
    <w:rsid w:val="006E34C0"/>
    <w:rsid w:val="006F1405"/>
    <w:rsid w:val="006F2FFA"/>
    <w:rsid w:val="006F5A81"/>
    <w:rsid w:val="006F5BA2"/>
    <w:rsid w:val="0070182C"/>
    <w:rsid w:val="00710030"/>
    <w:rsid w:val="00710CD7"/>
    <w:rsid w:val="00712FF7"/>
    <w:rsid w:val="00740244"/>
    <w:rsid w:val="00740D1D"/>
    <w:rsid w:val="00744EAC"/>
    <w:rsid w:val="00753926"/>
    <w:rsid w:val="00754D3A"/>
    <w:rsid w:val="00755AD7"/>
    <w:rsid w:val="00770628"/>
    <w:rsid w:val="00772055"/>
    <w:rsid w:val="00774DE6"/>
    <w:rsid w:val="00776816"/>
    <w:rsid w:val="00776A5F"/>
    <w:rsid w:val="007832DD"/>
    <w:rsid w:val="00786D17"/>
    <w:rsid w:val="007A65AB"/>
    <w:rsid w:val="007D38D0"/>
    <w:rsid w:val="007D50C5"/>
    <w:rsid w:val="007E0083"/>
    <w:rsid w:val="007E43B7"/>
    <w:rsid w:val="007E5451"/>
    <w:rsid w:val="007E6BD0"/>
    <w:rsid w:val="007F0C88"/>
    <w:rsid w:val="007F5F28"/>
    <w:rsid w:val="00800C2B"/>
    <w:rsid w:val="00802309"/>
    <w:rsid w:val="00802F54"/>
    <w:rsid w:val="00810B41"/>
    <w:rsid w:val="00810C58"/>
    <w:rsid w:val="00814449"/>
    <w:rsid w:val="00817B43"/>
    <w:rsid w:val="008224A4"/>
    <w:rsid w:val="00835B8B"/>
    <w:rsid w:val="008450B2"/>
    <w:rsid w:val="00850F0C"/>
    <w:rsid w:val="008568F4"/>
    <w:rsid w:val="0087792B"/>
    <w:rsid w:val="00880D26"/>
    <w:rsid w:val="008818F1"/>
    <w:rsid w:val="0088764F"/>
    <w:rsid w:val="008928ED"/>
    <w:rsid w:val="00893D38"/>
    <w:rsid w:val="00897586"/>
    <w:rsid w:val="008A3F3C"/>
    <w:rsid w:val="008A6FFB"/>
    <w:rsid w:val="008B4174"/>
    <w:rsid w:val="008C0090"/>
    <w:rsid w:val="008C4028"/>
    <w:rsid w:val="008D38BA"/>
    <w:rsid w:val="008D7D9E"/>
    <w:rsid w:val="008E0B9E"/>
    <w:rsid w:val="008E64DC"/>
    <w:rsid w:val="008E788B"/>
    <w:rsid w:val="00914A5E"/>
    <w:rsid w:val="00922CBA"/>
    <w:rsid w:val="00924F3E"/>
    <w:rsid w:val="0094138B"/>
    <w:rsid w:val="00941B20"/>
    <w:rsid w:val="009425FE"/>
    <w:rsid w:val="009435CE"/>
    <w:rsid w:val="00945904"/>
    <w:rsid w:val="00946789"/>
    <w:rsid w:val="00952CB6"/>
    <w:rsid w:val="009652E4"/>
    <w:rsid w:val="00965D65"/>
    <w:rsid w:val="00966A08"/>
    <w:rsid w:val="00970D7E"/>
    <w:rsid w:val="0098594B"/>
    <w:rsid w:val="0098653D"/>
    <w:rsid w:val="009A0915"/>
    <w:rsid w:val="009A0BF8"/>
    <w:rsid w:val="009A30D6"/>
    <w:rsid w:val="009A3B65"/>
    <w:rsid w:val="009A76C2"/>
    <w:rsid w:val="009B2EAB"/>
    <w:rsid w:val="009B4766"/>
    <w:rsid w:val="009C1A0F"/>
    <w:rsid w:val="009C2EBC"/>
    <w:rsid w:val="009C2FFD"/>
    <w:rsid w:val="009C714B"/>
    <w:rsid w:val="009D3569"/>
    <w:rsid w:val="009D6729"/>
    <w:rsid w:val="009E6099"/>
    <w:rsid w:val="009F19CD"/>
    <w:rsid w:val="009F391F"/>
    <w:rsid w:val="009F6100"/>
    <w:rsid w:val="00A02D94"/>
    <w:rsid w:val="00A060B0"/>
    <w:rsid w:val="00A0670A"/>
    <w:rsid w:val="00A10DD0"/>
    <w:rsid w:val="00A150CE"/>
    <w:rsid w:val="00A207C8"/>
    <w:rsid w:val="00A23594"/>
    <w:rsid w:val="00A32122"/>
    <w:rsid w:val="00A32B0D"/>
    <w:rsid w:val="00A32F07"/>
    <w:rsid w:val="00A40DF4"/>
    <w:rsid w:val="00A4293A"/>
    <w:rsid w:val="00A5520F"/>
    <w:rsid w:val="00A67261"/>
    <w:rsid w:val="00A704CF"/>
    <w:rsid w:val="00A70743"/>
    <w:rsid w:val="00A7139D"/>
    <w:rsid w:val="00A76930"/>
    <w:rsid w:val="00A81713"/>
    <w:rsid w:val="00A91133"/>
    <w:rsid w:val="00A9128D"/>
    <w:rsid w:val="00A92D90"/>
    <w:rsid w:val="00AA636B"/>
    <w:rsid w:val="00AB0CF7"/>
    <w:rsid w:val="00AB3827"/>
    <w:rsid w:val="00AB591E"/>
    <w:rsid w:val="00AC0DB5"/>
    <w:rsid w:val="00AC2F6D"/>
    <w:rsid w:val="00AD43AD"/>
    <w:rsid w:val="00AD6E9A"/>
    <w:rsid w:val="00AE2E75"/>
    <w:rsid w:val="00AE30C6"/>
    <w:rsid w:val="00AE4789"/>
    <w:rsid w:val="00AF6221"/>
    <w:rsid w:val="00B06A3D"/>
    <w:rsid w:val="00B1103A"/>
    <w:rsid w:val="00B13057"/>
    <w:rsid w:val="00B17022"/>
    <w:rsid w:val="00B17C35"/>
    <w:rsid w:val="00B2001E"/>
    <w:rsid w:val="00B33A86"/>
    <w:rsid w:val="00B34C29"/>
    <w:rsid w:val="00B40CF1"/>
    <w:rsid w:val="00B41971"/>
    <w:rsid w:val="00B430BB"/>
    <w:rsid w:val="00B47CF4"/>
    <w:rsid w:val="00B510C2"/>
    <w:rsid w:val="00B510CD"/>
    <w:rsid w:val="00B5218E"/>
    <w:rsid w:val="00B54866"/>
    <w:rsid w:val="00B6402B"/>
    <w:rsid w:val="00B64B09"/>
    <w:rsid w:val="00B65C0F"/>
    <w:rsid w:val="00B71FCB"/>
    <w:rsid w:val="00B77C45"/>
    <w:rsid w:val="00B809C0"/>
    <w:rsid w:val="00B854DC"/>
    <w:rsid w:val="00B8738B"/>
    <w:rsid w:val="00B92785"/>
    <w:rsid w:val="00B94686"/>
    <w:rsid w:val="00B9469F"/>
    <w:rsid w:val="00B96A56"/>
    <w:rsid w:val="00BA001A"/>
    <w:rsid w:val="00BA144B"/>
    <w:rsid w:val="00BA35F5"/>
    <w:rsid w:val="00BA4C68"/>
    <w:rsid w:val="00BB3C69"/>
    <w:rsid w:val="00BB7372"/>
    <w:rsid w:val="00BC14DF"/>
    <w:rsid w:val="00BC2B32"/>
    <w:rsid w:val="00BD224A"/>
    <w:rsid w:val="00BD233B"/>
    <w:rsid w:val="00BD3C3F"/>
    <w:rsid w:val="00BD45AE"/>
    <w:rsid w:val="00BD46AD"/>
    <w:rsid w:val="00BD5F02"/>
    <w:rsid w:val="00BE4923"/>
    <w:rsid w:val="00C02207"/>
    <w:rsid w:val="00C04D42"/>
    <w:rsid w:val="00C13F0E"/>
    <w:rsid w:val="00C17588"/>
    <w:rsid w:val="00C2207D"/>
    <w:rsid w:val="00C22919"/>
    <w:rsid w:val="00C257E1"/>
    <w:rsid w:val="00C25CD3"/>
    <w:rsid w:val="00C30678"/>
    <w:rsid w:val="00C433E2"/>
    <w:rsid w:val="00C44AE2"/>
    <w:rsid w:val="00C62BBF"/>
    <w:rsid w:val="00C63287"/>
    <w:rsid w:val="00C66295"/>
    <w:rsid w:val="00C71903"/>
    <w:rsid w:val="00C7678F"/>
    <w:rsid w:val="00C91BE2"/>
    <w:rsid w:val="00C91D8A"/>
    <w:rsid w:val="00CB0CB6"/>
    <w:rsid w:val="00CB1E6C"/>
    <w:rsid w:val="00CB2BFE"/>
    <w:rsid w:val="00CC429B"/>
    <w:rsid w:val="00CC4F3C"/>
    <w:rsid w:val="00CD032E"/>
    <w:rsid w:val="00CD0D72"/>
    <w:rsid w:val="00CD7C29"/>
    <w:rsid w:val="00CE0ADC"/>
    <w:rsid w:val="00CE1424"/>
    <w:rsid w:val="00CF159C"/>
    <w:rsid w:val="00CF33D0"/>
    <w:rsid w:val="00CF4FFC"/>
    <w:rsid w:val="00D03DE9"/>
    <w:rsid w:val="00D04B1C"/>
    <w:rsid w:val="00D1040C"/>
    <w:rsid w:val="00D131DC"/>
    <w:rsid w:val="00D17BE9"/>
    <w:rsid w:val="00D22C8B"/>
    <w:rsid w:val="00D24967"/>
    <w:rsid w:val="00D2506F"/>
    <w:rsid w:val="00D26339"/>
    <w:rsid w:val="00D27185"/>
    <w:rsid w:val="00D3642B"/>
    <w:rsid w:val="00D45671"/>
    <w:rsid w:val="00D50D88"/>
    <w:rsid w:val="00D510CB"/>
    <w:rsid w:val="00D5480A"/>
    <w:rsid w:val="00D64BAC"/>
    <w:rsid w:val="00D65535"/>
    <w:rsid w:val="00D65EF4"/>
    <w:rsid w:val="00D948A3"/>
    <w:rsid w:val="00DC17D1"/>
    <w:rsid w:val="00DD7CB1"/>
    <w:rsid w:val="00DF5890"/>
    <w:rsid w:val="00E030D8"/>
    <w:rsid w:val="00E1081D"/>
    <w:rsid w:val="00E16A72"/>
    <w:rsid w:val="00E17D2E"/>
    <w:rsid w:val="00E21A83"/>
    <w:rsid w:val="00E23E10"/>
    <w:rsid w:val="00E255B5"/>
    <w:rsid w:val="00E25DB6"/>
    <w:rsid w:val="00E26798"/>
    <w:rsid w:val="00E2787D"/>
    <w:rsid w:val="00E30C0F"/>
    <w:rsid w:val="00E34A55"/>
    <w:rsid w:val="00E350F1"/>
    <w:rsid w:val="00E3752D"/>
    <w:rsid w:val="00E40205"/>
    <w:rsid w:val="00E45029"/>
    <w:rsid w:val="00E50FFF"/>
    <w:rsid w:val="00E52006"/>
    <w:rsid w:val="00E52FC6"/>
    <w:rsid w:val="00E7038D"/>
    <w:rsid w:val="00E73454"/>
    <w:rsid w:val="00E76D10"/>
    <w:rsid w:val="00E82080"/>
    <w:rsid w:val="00E822DC"/>
    <w:rsid w:val="00E83153"/>
    <w:rsid w:val="00E9481E"/>
    <w:rsid w:val="00EA236E"/>
    <w:rsid w:val="00EA5DEA"/>
    <w:rsid w:val="00EA7F54"/>
    <w:rsid w:val="00EB3B3D"/>
    <w:rsid w:val="00EC3171"/>
    <w:rsid w:val="00EC657F"/>
    <w:rsid w:val="00ED0CDB"/>
    <w:rsid w:val="00ED4EF0"/>
    <w:rsid w:val="00ED63E7"/>
    <w:rsid w:val="00ED75F7"/>
    <w:rsid w:val="00EE0744"/>
    <w:rsid w:val="00EE47D3"/>
    <w:rsid w:val="00EE62EF"/>
    <w:rsid w:val="00EE766E"/>
    <w:rsid w:val="00EF4425"/>
    <w:rsid w:val="00F043B5"/>
    <w:rsid w:val="00F10494"/>
    <w:rsid w:val="00F133A1"/>
    <w:rsid w:val="00F13C25"/>
    <w:rsid w:val="00F21E09"/>
    <w:rsid w:val="00F26EA8"/>
    <w:rsid w:val="00F32748"/>
    <w:rsid w:val="00F3287A"/>
    <w:rsid w:val="00F41B96"/>
    <w:rsid w:val="00F427B8"/>
    <w:rsid w:val="00F45F2C"/>
    <w:rsid w:val="00F53023"/>
    <w:rsid w:val="00F546BE"/>
    <w:rsid w:val="00F57652"/>
    <w:rsid w:val="00F80EA6"/>
    <w:rsid w:val="00F81326"/>
    <w:rsid w:val="00F97023"/>
    <w:rsid w:val="00F97642"/>
    <w:rsid w:val="00FA0057"/>
    <w:rsid w:val="00FA2A50"/>
    <w:rsid w:val="00FA364D"/>
    <w:rsid w:val="00FA41AA"/>
    <w:rsid w:val="00FA72AE"/>
    <w:rsid w:val="00FB4846"/>
    <w:rsid w:val="00FC3E2D"/>
    <w:rsid w:val="00FC6BA5"/>
    <w:rsid w:val="00FE1831"/>
    <w:rsid w:val="00FE5A68"/>
    <w:rsid w:val="00FE68C1"/>
    <w:rsid w:val="00FF34B4"/>
    <w:rsid w:val="00FF3D0A"/>
    <w:rsid w:val="04AC4C72"/>
    <w:rsid w:val="05481B47"/>
    <w:rsid w:val="0ED8540A"/>
    <w:rsid w:val="13D1409A"/>
    <w:rsid w:val="144D7DFA"/>
    <w:rsid w:val="14B7772D"/>
    <w:rsid w:val="151935AD"/>
    <w:rsid w:val="173D7005"/>
    <w:rsid w:val="17F44640"/>
    <w:rsid w:val="1D420DCC"/>
    <w:rsid w:val="256B06CB"/>
    <w:rsid w:val="26DD0033"/>
    <w:rsid w:val="297B07E5"/>
    <w:rsid w:val="2BF33591"/>
    <w:rsid w:val="2D7B5088"/>
    <w:rsid w:val="2F7201F8"/>
    <w:rsid w:val="2F9F26D4"/>
    <w:rsid w:val="2FEF60ED"/>
    <w:rsid w:val="2FFD1836"/>
    <w:rsid w:val="332809BB"/>
    <w:rsid w:val="36E862C5"/>
    <w:rsid w:val="38FAC4B2"/>
    <w:rsid w:val="3BECA324"/>
    <w:rsid w:val="3BF3A776"/>
    <w:rsid w:val="3DFFCE2A"/>
    <w:rsid w:val="3E5A34C3"/>
    <w:rsid w:val="3F264B7C"/>
    <w:rsid w:val="3F9D8FF5"/>
    <w:rsid w:val="3FBD687F"/>
    <w:rsid w:val="3FBF653B"/>
    <w:rsid w:val="3FFEB8FF"/>
    <w:rsid w:val="3FFEC312"/>
    <w:rsid w:val="4239063F"/>
    <w:rsid w:val="43A000E4"/>
    <w:rsid w:val="47ADE531"/>
    <w:rsid w:val="482C3C45"/>
    <w:rsid w:val="4DBFD893"/>
    <w:rsid w:val="4FFB8220"/>
    <w:rsid w:val="53EB311C"/>
    <w:rsid w:val="59DE13D1"/>
    <w:rsid w:val="5DEF7703"/>
    <w:rsid w:val="5FCA84C0"/>
    <w:rsid w:val="5FFD8F00"/>
    <w:rsid w:val="63252E3C"/>
    <w:rsid w:val="64263CF2"/>
    <w:rsid w:val="64CE3B2A"/>
    <w:rsid w:val="6DFFF75F"/>
    <w:rsid w:val="6E7FA791"/>
    <w:rsid w:val="6F5B035F"/>
    <w:rsid w:val="6F9D63D6"/>
    <w:rsid w:val="6FB865B7"/>
    <w:rsid w:val="6FBD13C1"/>
    <w:rsid w:val="6FD3F2B1"/>
    <w:rsid w:val="6FFFA971"/>
    <w:rsid w:val="707F73D0"/>
    <w:rsid w:val="727F17C9"/>
    <w:rsid w:val="7300CFD0"/>
    <w:rsid w:val="73D30B76"/>
    <w:rsid w:val="75EFEE6C"/>
    <w:rsid w:val="76EDC4F6"/>
    <w:rsid w:val="76F7B642"/>
    <w:rsid w:val="77530965"/>
    <w:rsid w:val="7774DE42"/>
    <w:rsid w:val="77BAF1DF"/>
    <w:rsid w:val="77F75195"/>
    <w:rsid w:val="78FD7F7A"/>
    <w:rsid w:val="79773C53"/>
    <w:rsid w:val="79FF5A57"/>
    <w:rsid w:val="7B6E0354"/>
    <w:rsid w:val="7B9D6D59"/>
    <w:rsid w:val="7DFB19DC"/>
    <w:rsid w:val="7EEFEA45"/>
    <w:rsid w:val="7F7D729C"/>
    <w:rsid w:val="7FB4F56E"/>
    <w:rsid w:val="7FB977FD"/>
    <w:rsid w:val="7FFFA666"/>
    <w:rsid w:val="819D4D71"/>
    <w:rsid w:val="93DDCF93"/>
    <w:rsid w:val="A7BF66BF"/>
    <w:rsid w:val="B975B97E"/>
    <w:rsid w:val="BAF7E9D6"/>
    <w:rsid w:val="C6EB956B"/>
    <w:rsid w:val="C7F5E061"/>
    <w:rsid w:val="CF6510AA"/>
    <w:rsid w:val="DAF18B25"/>
    <w:rsid w:val="DBF9EC95"/>
    <w:rsid w:val="DEFF7E42"/>
    <w:rsid w:val="DFED1FF4"/>
    <w:rsid w:val="DFF2B30D"/>
    <w:rsid w:val="DFFC9FBB"/>
    <w:rsid w:val="E3CC1DF9"/>
    <w:rsid w:val="E6B7FF9E"/>
    <w:rsid w:val="EAFE52A7"/>
    <w:rsid w:val="EB7FDA98"/>
    <w:rsid w:val="EBCB881B"/>
    <w:rsid w:val="EDCF1B38"/>
    <w:rsid w:val="EFEEEF20"/>
    <w:rsid w:val="EFFFE56C"/>
    <w:rsid w:val="F06FEE48"/>
    <w:rsid w:val="F1DF28B9"/>
    <w:rsid w:val="F256A91E"/>
    <w:rsid w:val="F57B3695"/>
    <w:rsid w:val="F5FDF278"/>
    <w:rsid w:val="F69DC8D7"/>
    <w:rsid w:val="F6AEC611"/>
    <w:rsid w:val="F86792A2"/>
    <w:rsid w:val="FB3F1F8E"/>
    <w:rsid w:val="FB7F0677"/>
    <w:rsid w:val="FB7F593B"/>
    <w:rsid w:val="FBEEAE1A"/>
    <w:rsid w:val="FCFAB4EE"/>
    <w:rsid w:val="FDED3D0C"/>
    <w:rsid w:val="FE3D85B9"/>
    <w:rsid w:val="FEBE103F"/>
    <w:rsid w:val="FEEF24BA"/>
    <w:rsid w:val="FF1F1A80"/>
    <w:rsid w:val="FF679CA8"/>
    <w:rsid w:val="FF6E37A5"/>
    <w:rsid w:val="FF95AF85"/>
    <w:rsid w:val="FFAEC768"/>
    <w:rsid w:val="FFB7913B"/>
    <w:rsid w:val="FFBC5050"/>
    <w:rsid w:val="FFCFA994"/>
    <w:rsid w:val="FFEEC04E"/>
    <w:rsid w:val="FFFBEC1F"/>
    <w:rsid w:val="FFFE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Calibri" w:hAnsi="Calibri" w:eastAsia="仿宋_GB2312"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widowControl w:val="0"/>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5">
    <w:name w:val="toc 2"/>
    <w:basedOn w:val="1"/>
    <w:next w:val="1"/>
    <w:qFormat/>
    <w:uiPriority w:val="0"/>
    <w:pPr>
      <w:ind w:left="420" w:leftChars="200"/>
    </w:p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Calibri" w:hAnsi="Calibri" w:eastAsia="仿宋_GB2312" w:cs="Times New Roman"/>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329</Words>
  <Characters>1879</Characters>
  <Lines>15</Lines>
  <Paragraphs>4</Paragraphs>
  <TotalTime>2</TotalTime>
  <ScaleCrop>false</ScaleCrop>
  <LinksUpToDate>false</LinksUpToDate>
  <CharactersWithSpaces>2204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2023-10-31T00:26:00Z</dcterms:created>
  <dc:creator>许鑫</dc:creator>
  <cp:lastModifiedBy>uos</cp:lastModifiedBy>
  <cp:lastPrinted>2023-09-01T15:11:00Z</cp:lastPrinted>
  <dcterms:modified xsi:type="dcterms:W3CDTF">2023-12-25T15:49:02Z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D756C42C209A4FE7A601A6FEDE7F18B7_12</vt:lpwstr>
  </property>
</Properties>
</file>