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AB1D">
      <w:pPr>
        <w:widowControl/>
        <w:ind w:firstLine="0" w:firstLineChars="0"/>
        <w:jc w:val="left"/>
        <w:rPr>
          <w:rFonts w:eastAsia="黑体" w:cs="Times New Roman"/>
          <w:color w:val="auto"/>
          <w:kern w:val="0"/>
          <w:sz w:val="32"/>
          <w:szCs w:val="32"/>
          <w:highlight w:val="none"/>
          <w:lang w:bidi="ar"/>
        </w:rPr>
      </w:pPr>
    </w:p>
    <w:p w14:paraId="062120C4">
      <w:pPr>
        <w:bidi w:val="0"/>
        <w:rPr>
          <w:highlight w:val="none"/>
        </w:rPr>
      </w:pPr>
    </w:p>
    <w:p w14:paraId="6D3C33CF">
      <w:pPr>
        <w:widowControl/>
        <w:ind w:firstLine="1040"/>
        <w:jc w:val="left"/>
        <w:rPr>
          <w:rFonts w:cs="Times New Roman"/>
          <w:color w:val="auto"/>
          <w:kern w:val="0"/>
          <w:sz w:val="52"/>
          <w:szCs w:val="52"/>
          <w:highlight w:val="none"/>
          <w:lang w:bidi="ar"/>
        </w:rPr>
      </w:pPr>
    </w:p>
    <w:p w14:paraId="11B27CDC">
      <w:pPr>
        <w:adjustRightInd w:val="0"/>
        <w:snapToGrid w:val="0"/>
        <w:ind w:firstLine="0" w:firstLineChars="0"/>
        <w:jc w:val="center"/>
        <w:rPr>
          <w:rFonts w:hint="eastAsia" w:eastAsia="方正小标宋简体" w:cs="Times New Roman"/>
          <w:color w:val="auto"/>
          <w:sz w:val="50"/>
          <w:szCs w:val="50"/>
          <w:highlight w:val="none"/>
          <w:lang w:eastAsia="zh-Hans"/>
        </w:rPr>
      </w:pPr>
      <w:r>
        <w:rPr>
          <w:rFonts w:hint="eastAsia" w:eastAsia="方正小标宋简体" w:cs="Times New Roman"/>
          <w:color w:val="auto"/>
          <w:sz w:val="50"/>
          <w:szCs w:val="50"/>
          <w:highlight w:val="none"/>
          <w:lang w:eastAsia="zh-Hans"/>
        </w:rPr>
        <w:t>吉林省碳普惠减排场景方法学</w:t>
      </w:r>
    </w:p>
    <w:p w14:paraId="3D8E794E">
      <w:pPr>
        <w:adjustRightInd w:val="0"/>
        <w:snapToGrid w:val="0"/>
        <w:ind w:firstLine="0" w:firstLineChars="0"/>
        <w:jc w:val="center"/>
        <w:rPr>
          <w:rFonts w:hint="default" w:eastAsia="方正小标宋简体" w:cs="Times New Roman"/>
          <w:color w:val="auto"/>
          <w:sz w:val="50"/>
          <w:szCs w:val="50"/>
          <w:highlight w:val="none"/>
          <w:lang w:val="en-US" w:eastAsia="zh-CN"/>
        </w:rPr>
      </w:pPr>
      <w:r>
        <w:rPr>
          <w:rFonts w:hint="eastAsia" w:eastAsia="方正小标宋简体" w:cs="Times New Roman"/>
          <w:color w:val="auto"/>
          <w:sz w:val="50"/>
          <w:szCs w:val="50"/>
          <w:highlight w:val="none"/>
          <w:lang w:val="en-US" w:eastAsia="zh-CN"/>
        </w:rPr>
        <w:t>废弃产品</w:t>
      </w:r>
      <w:r>
        <w:rPr>
          <w:rFonts w:hint="eastAsia" w:eastAsia="方正小标宋简体" w:cs="Times New Roman"/>
          <w:color w:val="auto"/>
          <w:sz w:val="50"/>
          <w:szCs w:val="50"/>
          <w:highlight w:val="none"/>
          <w:lang w:val="en-US" w:eastAsia="zh-CN"/>
        </w:rPr>
        <w:t>分类回收</w:t>
      </w:r>
    </w:p>
    <w:p w14:paraId="3292EA07">
      <w:pPr>
        <w:adjustRightInd w:val="0"/>
        <w:snapToGrid w:val="0"/>
        <w:ind w:firstLine="0" w:firstLineChars="0"/>
        <w:jc w:val="center"/>
        <w:rPr>
          <w:rFonts w:eastAsia="方正小标宋简体" w:cs="Times New Roman"/>
          <w:color w:val="auto"/>
          <w:sz w:val="50"/>
          <w:szCs w:val="50"/>
          <w:highlight w:val="none"/>
        </w:rPr>
      </w:pPr>
      <w:r>
        <w:rPr>
          <w:rFonts w:hint="eastAsia" w:eastAsia="方正小标宋简体" w:cs="Times New Roman"/>
          <w:color w:val="auto"/>
          <w:sz w:val="50"/>
          <w:szCs w:val="50"/>
          <w:highlight w:val="none"/>
        </w:rPr>
        <w:t>（试行）</w:t>
      </w:r>
    </w:p>
    <w:p w14:paraId="7D2D8567">
      <w:pPr>
        <w:adjustRightInd w:val="0"/>
        <w:snapToGrid w:val="0"/>
        <w:spacing w:before="156" w:after="156"/>
        <w:ind w:firstLine="1000"/>
        <w:jc w:val="center"/>
        <w:rPr>
          <w:rFonts w:ascii="方正小标宋_GBK" w:eastAsia="方正小标宋_GBK" w:cs="Times New Roman"/>
          <w:color w:val="auto"/>
          <w:sz w:val="50"/>
          <w:szCs w:val="50"/>
          <w:highlight w:val="none"/>
          <w:lang w:eastAsia="zh-Hans"/>
        </w:rPr>
      </w:pPr>
    </w:p>
    <w:p w14:paraId="70509D91">
      <w:pPr>
        <w:widowControl/>
        <w:ind w:firstLine="0" w:firstLineChars="0"/>
        <w:jc w:val="center"/>
        <w:rPr>
          <w:rFonts w:cs="Times New Roman"/>
          <w:color w:val="auto"/>
          <w:kern w:val="0"/>
          <w:sz w:val="36"/>
          <w:szCs w:val="36"/>
          <w:highlight w:val="none"/>
          <w:lang w:bidi="ar"/>
        </w:rPr>
      </w:pPr>
    </w:p>
    <w:p w14:paraId="7F9557EF">
      <w:pPr>
        <w:widowControl/>
        <w:ind w:firstLine="0" w:firstLineChars="0"/>
        <w:jc w:val="center"/>
        <w:rPr>
          <w:rFonts w:cs="Times New Roman"/>
          <w:color w:val="auto"/>
          <w:kern w:val="0"/>
          <w:sz w:val="36"/>
          <w:szCs w:val="36"/>
          <w:highlight w:val="none"/>
          <w:lang w:bidi="ar"/>
        </w:rPr>
      </w:pPr>
    </w:p>
    <w:p w14:paraId="47C718CF">
      <w:pPr>
        <w:widowControl/>
        <w:ind w:firstLine="0" w:firstLineChars="0"/>
        <w:jc w:val="center"/>
        <w:rPr>
          <w:rFonts w:cs="Times New Roman"/>
          <w:color w:val="auto"/>
          <w:kern w:val="0"/>
          <w:sz w:val="36"/>
          <w:szCs w:val="36"/>
          <w:highlight w:val="none"/>
          <w:lang w:bidi="ar"/>
        </w:rPr>
      </w:pPr>
    </w:p>
    <w:p w14:paraId="5DE94DD9">
      <w:pPr>
        <w:widowControl/>
        <w:ind w:firstLine="0" w:firstLineChars="0"/>
        <w:jc w:val="center"/>
        <w:rPr>
          <w:rFonts w:cs="Times New Roman"/>
          <w:color w:val="auto"/>
          <w:kern w:val="0"/>
          <w:sz w:val="36"/>
          <w:szCs w:val="36"/>
          <w:highlight w:val="none"/>
          <w:lang w:bidi="ar"/>
        </w:rPr>
      </w:pPr>
    </w:p>
    <w:p w14:paraId="32D61B52">
      <w:pPr>
        <w:widowControl/>
        <w:ind w:firstLine="0" w:firstLineChars="0"/>
        <w:jc w:val="center"/>
        <w:rPr>
          <w:rFonts w:cs="Times New Roman"/>
          <w:color w:val="auto"/>
          <w:kern w:val="0"/>
          <w:sz w:val="36"/>
          <w:szCs w:val="36"/>
          <w:highlight w:val="none"/>
          <w:lang w:bidi="ar"/>
        </w:rPr>
      </w:pPr>
    </w:p>
    <w:p w14:paraId="0ABA2C3B">
      <w:pPr>
        <w:widowControl/>
        <w:ind w:firstLine="0" w:firstLineChars="0"/>
        <w:jc w:val="center"/>
        <w:rPr>
          <w:rFonts w:cs="Times New Roman"/>
          <w:color w:val="auto"/>
          <w:kern w:val="0"/>
          <w:sz w:val="36"/>
          <w:szCs w:val="36"/>
          <w:highlight w:val="none"/>
          <w:lang w:bidi="ar"/>
        </w:rPr>
      </w:pPr>
    </w:p>
    <w:p w14:paraId="613272D0">
      <w:pPr>
        <w:widowControl/>
        <w:ind w:firstLine="0" w:firstLineChars="0"/>
        <w:jc w:val="center"/>
        <w:rPr>
          <w:rFonts w:cs="Times New Roman"/>
          <w:color w:val="auto"/>
          <w:kern w:val="0"/>
          <w:sz w:val="36"/>
          <w:szCs w:val="36"/>
          <w:highlight w:val="none"/>
          <w:lang w:bidi="ar"/>
        </w:rPr>
      </w:pPr>
    </w:p>
    <w:p w14:paraId="154746D2">
      <w:pPr>
        <w:widowControl/>
        <w:ind w:firstLine="0" w:firstLineChars="0"/>
        <w:jc w:val="center"/>
        <w:rPr>
          <w:rFonts w:cs="Times New Roman"/>
          <w:color w:val="auto"/>
          <w:kern w:val="0"/>
          <w:sz w:val="36"/>
          <w:szCs w:val="36"/>
          <w:highlight w:val="none"/>
          <w:lang w:bidi="ar"/>
        </w:rPr>
      </w:pPr>
    </w:p>
    <w:p w14:paraId="6F967896">
      <w:pPr>
        <w:pStyle w:val="52"/>
        <w:spacing w:before="0" w:beforeLines="0" w:after="0" w:afterLines="0" w:line="240" w:lineRule="auto"/>
        <w:rPr>
          <w:rFonts w:hint="eastAsia" w:ascii="楷体" w:hAnsi="楷体" w:eastAsia="楷体" w:cs="Times New Roman"/>
          <w:color w:val="auto"/>
          <w:sz w:val="32"/>
          <w:szCs w:val="32"/>
          <w:highlight w:val="none"/>
        </w:rPr>
      </w:pPr>
    </w:p>
    <w:p w14:paraId="008345EC">
      <w:pPr>
        <w:pStyle w:val="52"/>
        <w:spacing w:before="0" w:beforeLines="0" w:after="0" w:afterLines="0" w:line="240" w:lineRule="auto"/>
        <w:rPr>
          <w:rFonts w:eastAsia="楷体" w:cs="Times New Roman"/>
          <w:color w:val="auto"/>
          <w:sz w:val="32"/>
          <w:szCs w:val="32"/>
          <w:highlight w:val="none"/>
        </w:rPr>
      </w:pPr>
    </w:p>
    <w:p w14:paraId="1E677797">
      <w:pPr>
        <w:pStyle w:val="52"/>
        <w:spacing w:before="0" w:beforeLines="0" w:after="0" w:afterLines="0" w:line="240" w:lineRule="auto"/>
        <w:rPr>
          <w:rFonts w:eastAsia="楷体" w:cs="Times New Roman"/>
          <w:color w:val="auto"/>
          <w:sz w:val="32"/>
          <w:szCs w:val="32"/>
          <w:highlight w:val="none"/>
        </w:rPr>
      </w:pPr>
    </w:p>
    <w:p w14:paraId="7157061C">
      <w:pPr>
        <w:pStyle w:val="52"/>
        <w:spacing w:before="0" w:beforeLines="0" w:after="0" w:afterLines="0" w:line="240" w:lineRule="auto"/>
        <w:rPr>
          <w:rFonts w:eastAsia="楷体" w:cs="Times New Roman"/>
          <w:color w:val="auto"/>
          <w:sz w:val="32"/>
          <w:szCs w:val="32"/>
          <w:highlight w:val="none"/>
        </w:rPr>
      </w:pPr>
    </w:p>
    <w:p w14:paraId="21F9F2DF">
      <w:pPr>
        <w:pStyle w:val="52"/>
        <w:spacing w:before="0" w:beforeLines="0" w:after="0" w:afterLines="0" w:line="240" w:lineRule="auto"/>
        <w:rPr>
          <w:rFonts w:eastAsia="宋体" w:cs="Times New Roman"/>
          <w:color w:val="auto"/>
          <w:sz w:val="32"/>
          <w:highlight w:val="none"/>
        </w:rPr>
      </w:pPr>
      <w:r>
        <w:rPr>
          <w:rFonts w:eastAsia="楷体" w:cs="Times New Roman"/>
          <w:color w:val="auto"/>
          <w:sz w:val="32"/>
          <w:szCs w:val="32"/>
          <w:highlight w:val="none"/>
        </w:rPr>
        <w:t>202</w:t>
      </w:r>
      <w:r>
        <w:rPr>
          <w:rFonts w:hint="eastAsia" w:eastAsia="楷体" w:cs="Times New Roman"/>
          <w:color w:val="auto"/>
          <w:sz w:val="32"/>
          <w:szCs w:val="32"/>
          <w:highlight w:val="none"/>
          <w:lang w:val="en-US" w:eastAsia="zh-CN"/>
        </w:rPr>
        <w:t>6</w:t>
      </w:r>
      <w:r>
        <w:rPr>
          <w:rFonts w:eastAsia="楷体" w:cs="Times New Roman"/>
          <w:color w:val="auto"/>
          <w:sz w:val="32"/>
          <w:szCs w:val="32"/>
          <w:highlight w:val="none"/>
        </w:rPr>
        <w:t>年</w:t>
      </w:r>
      <w:bookmarkStart w:id="97" w:name="_GoBack"/>
      <w:bookmarkEnd w:id="97"/>
      <w:r>
        <w:rPr>
          <w:rFonts w:hint="eastAsia" w:eastAsia="楷体" w:cs="Times New Roman"/>
          <w:color w:val="auto"/>
          <w:sz w:val="32"/>
          <w:szCs w:val="32"/>
          <w:highlight w:val="none"/>
          <w:lang w:val="en-US" w:eastAsia="zh-CN"/>
        </w:rPr>
        <w:t>5</w:t>
      </w:r>
      <w:r>
        <w:rPr>
          <w:rFonts w:eastAsia="楷体" w:cs="Times New Roman"/>
          <w:color w:val="auto"/>
          <w:sz w:val="32"/>
          <w:szCs w:val="32"/>
          <w:highlight w:val="none"/>
        </w:rPr>
        <w:t>月</w:t>
      </w:r>
    </w:p>
    <w:p w14:paraId="40533DB4">
      <w:pPr>
        <w:tabs>
          <w:tab w:val="left" w:pos="1270"/>
        </w:tabs>
        <w:ind w:firstLine="0" w:firstLineChars="0"/>
        <w:rPr>
          <w:rFonts w:eastAsia="黑体"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2"/>
          <w:sz w:val="21"/>
          <w:szCs w:val="21"/>
          <w:highlight w:val="none"/>
          <w:lang w:val="en-US" w:eastAsia="zh-CN" w:bidi="ar-SA"/>
        </w:rPr>
        <w:id w:val="147482541"/>
        <w15:color w:val="DBDBDB"/>
        <w:docPartObj>
          <w:docPartGallery w:val="Table of Contents"/>
          <w:docPartUnique/>
        </w:docPartObj>
      </w:sdtPr>
      <w:sdtEndPr>
        <w:rPr>
          <w:rFonts w:ascii="Times New Roman" w:hAnsi="Times New Roman" w:eastAsia="宋体" w:cstheme="minorBidi"/>
          <w:kern w:val="2"/>
          <w:sz w:val="21"/>
          <w:szCs w:val="21"/>
          <w:highlight w:val="none"/>
          <w:lang w:val="en-US" w:eastAsia="zh-CN" w:bidi="ar-SA"/>
        </w:rPr>
      </w:sdtEndPr>
      <w:sdtContent>
        <w:p w14:paraId="6587558E">
          <w:pPr>
            <w:spacing w:before="0" w:beforeLines="0" w:after="0" w:afterLines="0" w:line="240" w:lineRule="auto"/>
            <w:ind w:left="0" w:leftChars="0" w:right="0" w:rightChars="0" w:firstLine="0" w:firstLineChars="0"/>
            <w:jc w:val="center"/>
            <w:rPr>
              <w:rFonts w:hint="eastAsia" w:ascii="Times New Roman" w:hAnsi="Times New Roman" w:eastAsia="仿宋_GB2312" w:cstheme="majorBidi"/>
              <w:color w:val="auto"/>
              <w:kern w:val="0"/>
              <w:sz w:val="28"/>
              <w:szCs w:val="28"/>
              <w:highlight w:val="none"/>
              <w:lang w:val="zh-CN" w:eastAsia="zh-CN" w:bidi="ar-SA"/>
            </w:rPr>
          </w:pPr>
          <w:r>
            <w:rPr>
              <w:rFonts w:hint="eastAsia" w:ascii="黑体" w:hAnsi="黑体" w:eastAsia="黑体" w:cs="黑体"/>
              <w:color w:val="auto"/>
              <w:kern w:val="0"/>
              <w:sz w:val="28"/>
              <w:szCs w:val="28"/>
              <w:highlight w:val="none"/>
              <w:lang w:val="zh-CN" w:eastAsia="zh-CN" w:bidi="ar-SA"/>
            </w:rPr>
            <w:t>目</w:t>
          </w:r>
          <w:r>
            <w:rPr>
              <w:rFonts w:hint="eastAsia" w:ascii="黑体" w:hAnsi="黑体" w:eastAsia="黑体" w:cs="黑体"/>
              <w:color w:val="auto"/>
              <w:kern w:val="0"/>
              <w:sz w:val="28"/>
              <w:szCs w:val="28"/>
              <w:highlight w:val="none"/>
              <w:lang w:val="en-US" w:eastAsia="zh-CN" w:bidi="ar-SA"/>
            </w:rPr>
            <w:t xml:space="preserve">  </w:t>
          </w:r>
          <w:r>
            <w:rPr>
              <w:rFonts w:hint="eastAsia" w:ascii="黑体" w:hAnsi="黑体" w:eastAsia="黑体" w:cs="黑体"/>
              <w:color w:val="auto"/>
              <w:kern w:val="0"/>
              <w:sz w:val="28"/>
              <w:szCs w:val="28"/>
              <w:highlight w:val="none"/>
              <w:lang w:val="zh-CN" w:eastAsia="zh-CN" w:bidi="ar-SA"/>
            </w:rPr>
            <w:t>录</w:t>
          </w:r>
        </w:p>
        <w:p w14:paraId="24584B04">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_Toc78 </w:instrText>
          </w:r>
          <w:r>
            <w:rPr>
              <w:highlight w:val="none"/>
            </w:rPr>
            <w:fldChar w:fldCharType="separate"/>
          </w:r>
          <w:r>
            <w:rPr>
              <w:rFonts w:cs="Times New Roman"/>
              <w:highlight w:val="none"/>
            </w:rPr>
            <w:t>1 引言</w:t>
          </w:r>
          <w:r>
            <w:rPr>
              <w:highlight w:val="none"/>
            </w:rPr>
            <w:tab/>
          </w:r>
          <w:r>
            <w:rPr>
              <w:highlight w:val="none"/>
            </w:rPr>
            <w:fldChar w:fldCharType="begin"/>
          </w:r>
          <w:r>
            <w:rPr>
              <w:highlight w:val="none"/>
            </w:rPr>
            <w:instrText xml:space="preserve"> PAGEREF _Toc78 \h </w:instrText>
          </w:r>
          <w:r>
            <w:rPr>
              <w:highlight w:val="none"/>
            </w:rPr>
            <w:fldChar w:fldCharType="separate"/>
          </w:r>
          <w:r>
            <w:rPr>
              <w:highlight w:val="none"/>
            </w:rPr>
            <w:t>1</w:t>
          </w:r>
          <w:r>
            <w:rPr>
              <w:highlight w:val="none"/>
            </w:rPr>
            <w:fldChar w:fldCharType="end"/>
          </w:r>
          <w:r>
            <w:rPr>
              <w:highlight w:val="none"/>
            </w:rPr>
            <w:fldChar w:fldCharType="end"/>
          </w:r>
        </w:p>
        <w:p w14:paraId="11000900">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_Toc29486 </w:instrText>
          </w:r>
          <w:r>
            <w:rPr>
              <w:highlight w:val="none"/>
            </w:rPr>
            <w:fldChar w:fldCharType="separate"/>
          </w:r>
          <w:r>
            <w:rPr>
              <w:rFonts w:cs="Times New Roman"/>
              <w:highlight w:val="none"/>
            </w:rPr>
            <w:t>2 适用条件</w:t>
          </w:r>
          <w:r>
            <w:rPr>
              <w:highlight w:val="none"/>
            </w:rPr>
            <w:tab/>
          </w:r>
          <w:r>
            <w:rPr>
              <w:highlight w:val="none"/>
            </w:rPr>
            <w:fldChar w:fldCharType="begin"/>
          </w:r>
          <w:r>
            <w:rPr>
              <w:highlight w:val="none"/>
            </w:rPr>
            <w:instrText xml:space="preserve"> PAGEREF _Toc29486 \h </w:instrText>
          </w:r>
          <w:r>
            <w:rPr>
              <w:highlight w:val="none"/>
            </w:rPr>
            <w:fldChar w:fldCharType="separate"/>
          </w:r>
          <w:r>
            <w:rPr>
              <w:highlight w:val="none"/>
            </w:rPr>
            <w:t>1</w:t>
          </w:r>
          <w:r>
            <w:rPr>
              <w:highlight w:val="none"/>
            </w:rPr>
            <w:fldChar w:fldCharType="end"/>
          </w:r>
          <w:r>
            <w:rPr>
              <w:highlight w:val="none"/>
            </w:rPr>
            <w:fldChar w:fldCharType="end"/>
          </w:r>
        </w:p>
        <w:p w14:paraId="6559724B">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_Toc30006 </w:instrText>
          </w:r>
          <w:r>
            <w:rPr>
              <w:highlight w:val="none"/>
            </w:rPr>
            <w:fldChar w:fldCharType="separate"/>
          </w:r>
          <w:r>
            <w:rPr>
              <w:rFonts w:cs="Times New Roman"/>
              <w:highlight w:val="none"/>
            </w:rPr>
            <w:t xml:space="preserve">3 </w:t>
          </w:r>
          <w:r>
            <w:rPr>
              <w:rFonts w:hint="eastAsia" w:cs="Times New Roman"/>
              <w:highlight w:val="none"/>
            </w:rPr>
            <w:t>规范性</w:t>
          </w:r>
          <w:r>
            <w:rPr>
              <w:rFonts w:cs="Times New Roman"/>
              <w:highlight w:val="none"/>
            </w:rPr>
            <w:t>引用文件</w:t>
          </w:r>
          <w:r>
            <w:rPr>
              <w:highlight w:val="none"/>
            </w:rPr>
            <w:tab/>
          </w:r>
          <w:r>
            <w:rPr>
              <w:highlight w:val="none"/>
            </w:rPr>
            <w:fldChar w:fldCharType="begin"/>
          </w:r>
          <w:r>
            <w:rPr>
              <w:highlight w:val="none"/>
            </w:rPr>
            <w:instrText xml:space="preserve"> PAGEREF _Toc30006 \h </w:instrText>
          </w:r>
          <w:r>
            <w:rPr>
              <w:highlight w:val="none"/>
            </w:rPr>
            <w:fldChar w:fldCharType="separate"/>
          </w:r>
          <w:r>
            <w:rPr>
              <w:highlight w:val="none"/>
            </w:rPr>
            <w:t>1</w:t>
          </w:r>
          <w:r>
            <w:rPr>
              <w:highlight w:val="none"/>
            </w:rPr>
            <w:fldChar w:fldCharType="end"/>
          </w:r>
          <w:r>
            <w:rPr>
              <w:highlight w:val="none"/>
            </w:rPr>
            <w:fldChar w:fldCharType="end"/>
          </w:r>
        </w:p>
        <w:p w14:paraId="754365E8">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_Toc6483 </w:instrText>
          </w:r>
          <w:r>
            <w:rPr>
              <w:highlight w:val="none"/>
            </w:rPr>
            <w:fldChar w:fldCharType="separate"/>
          </w:r>
          <w:r>
            <w:rPr>
              <w:rFonts w:cs="Times New Roman"/>
              <w:highlight w:val="none"/>
            </w:rPr>
            <w:t>4 术语和定义</w:t>
          </w:r>
          <w:r>
            <w:rPr>
              <w:highlight w:val="none"/>
            </w:rPr>
            <w:tab/>
          </w:r>
          <w:r>
            <w:rPr>
              <w:highlight w:val="none"/>
            </w:rPr>
            <w:fldChar w:fldCharType="begin"/>
          </w:r>
          <w:r>
            <w:rPr>
              <w:highlight w:val="none"/>
            </w:rPr>
            <w:instrText xml:space="preserve"> PAGEREF _Toc6483 \h </w:instrText>
          </w:r>
          <w:r>
            <w:rPr>
              <w:highlight w:val="none"/>
            </w:rPr>
            <w:fldChar w:fldCharType="separate"/>
          </w:r>
          <w:r>
            <w:rPr>
              <w:highlight w:val="none"/>
            </w:rPr>
            <w:t>1</w:t>
          </w:r>
          <w:r>
            <w:rPr>
              <w:highlight w:val="none"/>
            </w:rPr>
            <w:fldChar w:fldCharType="end"/>
          </w:r>
          <w:r>
            <w:rPr>
              <w:highlight w:val="none"/>
            </w:rPr>
            <w:fldChar w:fldCharType="end"/>
          </w:r>
        </w:p>
        <w:p w14:paraId="51A4A3CD">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_Toc26697 </w:instrText>
          </w:r>
          <w:r>
            <w:rPr>
              <w:highlight w:val="none"/>
            </w:rPr>
            <w:fldChar w:fldCharType="separate"/>
          </w:r>
          <w:r>
            <w:rPr>
              <w:rFonts w:cs="Times New Roman"/>
              <w:highlight w:val="none"/>
            </w:rPr>
            <w:t xml:space="preserve">5 </w:t>
          </w:r>
          <w:r>
            <w:rPr>
              <w:rFonts w:hint="eastAsia" w:cs="Times New Roman"/>
              <w:highlight w:val="none"/>
            </w:rPr>
            <w:t>核算边界、计入期和</w:t>
          </w:r>
          <w:r>
            <w:rPr>
              <w:rFonts w:cs="Times New Roman"/>
              <w:highlight w:val="none"/>
            </w:rPr>
            <w:t>排放源</w:t>
          </w:r>
          <w:r>
            <w:rPr>
              <w:highlight w:val="none"/>
            </w:rPr>
            <w:tab/>
          </w:r>
          <w:r>
            <w:rPr>
              <w:highlight w:val="none"/>
            </w:rPr>
            <w:fldChar w:fldCharType="begin"/>
          </w:r>
          <w:r>
            <w:rPr>
              <w:highlight w:val="none"/>
            </w:rPr>
            <w:instrText xml:space="preserve"> PAGEREF _Toc26697 \h </w:instrText>
          </w:r>
          <w:r>
            <w:rPr>
              <w:highlight w:val="none"/>
            </w:rPr>
            <w:fldChar w:fldCharType="separate"/>
          </w:r>
          <w:r>
            <w:rPr>
              <w:highlight w:val="none"/>
            </w:rPr>
            <w:t>2</w:t>
          </w:r>
          <w:r>
            <w:rPr>
              <w:highlight w:val="none"/>
            </w:rPr>
            <w:fldChar w:fldCharType="end"/>
          </w:r>
          <w:r>
            <w:rPr>
              <w:highlight w:val="none"/>
            </w:rPr>
            <w:fldChar w:fldCharType="end"/>
          </w:r>
        </w:p>
        <w:p w14:paraId="4892EE61">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_Toc27228 </w:instrText>
          </w:r>
          <w:r>
            <w:rPr>
              <w:highlight w:val="none"/>
            </w:rPr>
            <w:fldChar w:fldCharType="separate"/>
          </w:r>
          <w:r>
            <w:rPr>
              <w:rFonts w:hint="eastAsia"/>
              <w:bCs w:val="0"/>
              <w:iCs/>
              <w:highlight w:val="none"/>
              <w:lang w:val="en-US" w:eastAsia="zh-CN"/>
            </w:rPr>
            <w:t>5.1 边界</w:t>
          </w:r>
          <w:r>
            <w:rPr>
              <w:highlight w:val="none"/>
            </w:rPr>
            <w:tab/>
          </w:r>
          <w:r>
            <w:rPr>
              <w:highlight w:val="none"/>
            </w:rPr>
            <w:fldChar w:fldCharType="begin"/>
          </w:r>
          <w:r>
            <w:rPr>
              <w:highlight w:val="none"/>
            </w:rPr>
            <w:instrText xml:space="preserve"> PAGEREF _Toc27228 \h </w:instrText>
          </w:r>
          <w:r>
            <w:rPr>
              <w:highlight w:val="none"/>
            </w:rPr>
            <w:fldChar w:fldCharType="separate"/>
          </w:r>
          <w:r>
            <w:rPr>
              <w:highlight w:val="none"/>
            </w:rPr>
            <w:t>2</w:t>
          </w:r>
          <w:r>
            <w:rPr>
              <w:highlight w:val="none"/>
            </w:rPr>
            <w:fldChar w:fldCharType="end"/>
          </w:r>
          <w:r>
            <w:rPr>
              <w:highlight w:val="none"/>
            </w:rPr>
            <w:fldChar w:fldCharType="end"/>
          </w:r>
        </w:p>
        <w:p w14:paraId="3233B4AF">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_Toc19281 </w:instrText>
          </w:r>
          <w:r>
            <w:rPr>
              <w:highlight w:val="none"/>
            </w:rPr>
            <w:fldChar w:fldCharType="separate"/>
          </w:r>
          <w:r>
            <w:rPr>
              <w:rFonts w:hint="eastAsia"/>
              <w:bCs w:val="0"/>
              <w:iCs/>
              <w:highlight w:val="none"/>
              <w:lang w:val="en-US" w:eastAsia="zh-CN"/>
            </w:rPr>
            <w:t>5.2 计入期</w:t>
          </w:r>
          <w:r>
            <w:rPr>
              <w:highlight w:val="none"/>
            </w:rPr>
            <w:tab/>
          </w:r>
          <w:r>
            <w:rPr>
              <w:highlight w:val="none"/>
            </w:rPr>
            <w:fldChar w:fldCharType="begin"/>
          </w:r>
          <w:r>
            <w:rPr>
              <w:highlight w:val="none"/>
            </w:rPr>
            <w:instrText xml:space="preserve"> PAGEREF _Toc19281 \h </w:instrText>
          </w:r>
          <w:r>
            <w:rPr>
              <w:highlight w:val="none"/>
            </w:rPr>
            <w:fldChar w:fldCharType="separate"/>
          </w:r>
          <w:r>
            <w:rPr>
              <w:highlight w:val="none"/>
            </w:rPr>
            <w:t>2</w:t>
          </w:r>
          <w:r>
            <w:rPr>
              <w:highlight w:val="none"/>
            </w:rPr>
            <w:fldChar w:fldCharType="end"/>
          </w:r>
          <w:r>
            <w:rPr>
              <w:highlight w:val="none"/>
            </w:rPr>
            <w:fldChar w:fldCharType="end"/>
          </w:r>
        </w:p>
        <w:p w14:paraId="100D5242">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_Toc2323 </w:instrText>
          </w:r>
          <w:r>
            <w:rPr>
              <w:highlight w:val="none"/>
            </w:rPr>
            <w:fldChar w:fldCharType="separate"/>
          </w:r>
          <w:r>
            <w:rPr>
              <w:rFonts w:hint="eastAsia"/>
              <w:bCs w:val="0"/>
              <w:iCs/>
              <w:highlight w:val="none"/>
              <w:lang w:val="en-US" w:eastAsia="zh-CN"/>
            </w:rPr>
            <w:t>5.3 温室气体排放源</w:t>
          </w:r>
          <w:r>
            <w:rPr>
              <w:highlight w:val="none"/>
            </w:rPr>
            <w:tab/>
          </w:r>
          <w:r>
            <w:rPr>
              <w:highlight w:val="none"/>
            </w:rPr>
            <w:fldChar w:fldCharType="begin"/>
          </w:r>
          <w:r>
            <w:rPr>
              <w:highlight w:val="none"/>
            </w:rPr>
            <w:instrText xml:space="preserve"> PAGEREF _Toc2323 \h </w:instrText>
          </w:r>
          <w:r>
            <w:rPr>
              <w:highlight w:val="none"/>
            </w:rPr>
            <w:fldChar w:fldCharType="separate"/>
          </w:r>
          <w:r>
            <w:rPr>
              <w:highlight w:val="none"/>
            </w:rPr>
            <w:t>2</w:t>
          </w:r>
          <w:r>
            <w:rPr>
              <w:highlight w:val="none"/>
            </w:rPr>
            <w:fldChar w:fldCharType="end"/>
          </w:r>
          <w:r>
            <w:rPr>
              <w:highlight w:val="none"/>
            </w:rPr>
            <w:fldChar w:fldCharType="end"/>
          </w:r>
        </w:p>
        <w:p w14:paraId="2473A2BA">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_Toc11101 </w:instrText>
          </w:r>
          <w:r>
            <w:rPr>
              <w:highlight w:val="none"/>
            </w:rPr>
            <w:fldChar w:fldCharType="separate"/>
          </w:r>
          <w:r>
            <w:rPr>
              <w:rFonts w:hint="eastAsia" w:cs="Times New Roman"/>
              <w:highlight w:val="none"/>
            </w:rPr>
            <w:t>6 减排量核算方法</w:t>
          </w:r>
          <w:r>
            <w:rPr>
              <w:highlight w:val="none"/>
            </w:rPr>
            <w:tab/>
          </w:r>
          <w:r>
            <w:rPr>
              <w:highlight w:val="none"/>
            </w:rPr>
            <w:fldChar w:fldCharType="begin"/>
          </w:r>
          <w:r>
            <w:rPr>
              <w:highlight w:val="none"/>
            </w:rPr>
            <w:instrText xml:space="preserve"> PAGEREF _Toc11101 \h </w:instrText>
          </w:r>
          <w:r>
            <w:rPr>
              <w:highlight w:val="none"/>
            </w:rPr>
            <w:fldChar w:fldCharType="separate"/>
          </w:r>
          <w:r>
            <w:rPr>
              <w:highlight w:val="none"/>
            </w:rPr>
            <w:t>2</w:t>
          </w:r>
          <w:r>
            <w:rPr>
              <w:highlight w:val="none"/>
            </w:rPr>
            <w:fldChar w:fldCharType="end"/>
          </w:r>
          <w:r>
            <w:rPr>
              <w:highlight w:val="none"/>
            </w:rPr>
            <w:fldChar w:fldCharType="end"/>
          </w:r>
        </w:p>
        <w:p w14:paraId="29B5D5F3">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_Toc31108 </w:instrText>
          </w:r>
          <w:r>
            <w:rPr>
              <w:highlight w:val="none"/>
            </w:rPr>
            <w:fldChar w:fldCharType="separate"/>
          </w:r>
          <w:r>
            <w:rPr>
              <w:rFonts w:hint="eastAsia"/>
              <w:bCs w:val="0"/>
              <w:iCs/>
              <w:highlight w:val="none"/>
              <w:lang w:val="en-US" w:eastAsia="zh-CN"/>
            </w:rPr>
            <w:t>6.1 基准线情景识别</w:t>
          </w:r>
          <w:r>
            <w:rPr>
              <w:highlight w:val="none"/>
            </w:rPr>
            <w:tab/>
          </w:r>
          <w:r>
            <w:rPr>
              <w:highlight w:val="none"/>
            </w:rPr>
            <w:fldChar w:fldCharType="begin"/>
          </w:r>
          <w:r>
            <w:rPr>
              <w:highlight w:val="none"/>
            </w:rPr>
            <w:instrText xml:space="preserve"> PAGEREF _Toc31108 \h </w:instrText>
          </w:r>
          <w:r>
            <w:rPr>
              <w:highlight w:val="none"/>
            </w:rPr>
            <w:fldChar w:fldCharType="separate"/>
          </w:r>
          <w:r>
            <w:rPr>
              <w:highlight w:val="none"/>
            </w:rPr>
            <w:t>2</w:t>
          </w:r>
          <w:r>
            <w:rPr>
              <w:highlight w:val="none"/>
            </w:rPr>
            <w:fldChar w:fldCharType="end"/>
          </w:r>
          <w:r>
            <w:rPr>
              <w:highlight w:val="none"/>
            </w:rPr>
            <w:fldChar w:fldCharType="end"/>
          </w:r>
        </w:p>
        <w:p w14:paraId="3B4A84D8">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_Toc22766 </w:instrText>
          </w:r>
          <w:r>
            <w:rPr>
              <w:highlight w:val="none"/>
            </w:rPr>
            <w:fldChar w:fldCharType="separate"/>
          </w:r>
          <w:r>
            <w:rPr>
              <w:rFonts w:hint="eastAsia"/>
              <w:bCs w:val="0"/>
              <w:iCs/>
              <w:highlight w:val="none"/>
              <w:lang w:val="en-US" w:eastAsia="zh-CN"/>
            </w:rPr>
            <w:t>6.2 额外性论证</w:t>
          </w:r>
          <w:r>
            <w:rPr>
              <w:highlight w:val="none"/>
            </w:rPr>
            <w:tab/>
          </w:r>
          <w:r>
            <w:rPr>
              <w:highlight w:val="none"/>
            </w:rPr>
            <w:fldChar w:fldCharType="begin"/>
          </w:r>
          <w:r>
            <w:rPr>
              <w:highlight w:val="none"/>
            </w:rPr>
            <w:instrText xml:space="preserve"> PAGEREF _Toc22766 \h </w:instrText>
          </w:r>
          <w:r>
            <w:rPr>
              <w:highlight w:val="none"/>
            </w:rPr>
            <w:fldChar w:fldCharType="separate"/>
          </w:r>
          <w:r>
            <w:rPr>
              <w:highlight w:val="none"/>
            </w:rPr>
            <w:t>2</w:t>
          </w:r>
          <w:r>
            <w:rPr>
              <w:highlight w:val="none"/>
            </w:rPr>
            <w:fldChar w:fldCharType="end"/>
          </w:r>
          <w:r>
            <w:rPr>
              <w:highlight w:val="none"/>
            </w:rPr>
            <w:fldChar w:fldCharType="end"/>
          </w:r>
        </w:p>
        <w:p w14:paraId="07488C2A">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_Toc25152 </w:instrText>
          </w:r>
          <w:r>
            <w:rPr>
              <w:highlight w:val="none"/>
            </w:rPr>
            <w:fldChar w:fldCharType="separate"/>
          </w:r>
          <w:r>
            <w:rPr>
              <w:rFonts w:hint="eastAsia"/>
              <w:bCs w:val="0"/>
              <w:iCs/>
              <w:highlight w:val="none"/>
              <w:lang w:val="en-US" w:eastAsia="zh-CN"/>
            </w:rPr>
            <w:t>6.3 基准线情景排放计算</w:t>
          </w:r>
          <w:r>
            <w:rPr>
              <w:highlight w:val="none"/>
            </w:rPr>
            <w:tab/>
          </w:r>
          <w:r>
            <w:rPr>
              <w:highlight w:val="none"/>
            </w:rPr>
            <w:fldChar w:fldCharType="begin"/>
          </w:r>
          <w:r>
            <w:rPr>
              <w:highlight w:val="none"/>
            </w:rPr>
            <w:instrText xml:space="preserve"> PAGEREF _Toc25152 \h </w:instrText>
          </w:r>
          <w:r>
            <w:rPr>
              <w:highlight w:val="none"/>
            </w:rPr>
            <w:fldChar w:fldCharType="separate"/>
          </w:r>
          <w:r>
            <w:rPr>
              <w:highlight w:val="none"/>
            </w:rPr>
            <w:t>2</w:t>
          </w:r>
          <w:r>
            <w:rPr>
              <w:highlight w:val="none"/>
            </w:rPr>
            <w:fldChar w:fldCharType="end"/>
          </w:r>
          <w:r>
            <w:rPr>
              <w:highlight w:val="none"/>
            </w:rPr>
            <w:fldChar w:fldCharType="end"/>
          </w:r>
        </w:p>
        <w:p w14:paraId="0E045560">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_Toc7 </w:instrText>
          </w:r>
          <w:r>
            <w:rPr>
              <w:highlight w:val="none"/>
            </w:rPr>
            <w:fldChar w:fldCharType="separate"/>
          </w:r>
          <w:r>
            <w:rPr>
              <w:rFonts w:hint="eastAsia"/>
              <w:bCs w:val="0"/>
              <w:iCs/>
              <w:highlight w:val="none"/>
              <w:lang w:val="en-US" w:eastAsia="zh"/>
            </w:rPr>
            <w:t>6.4 碳普惠情景排放计算</w:t>
          </w:r>
          <w:r>
            <w:rPr>
              <w:highlight w:val="none"/>
            </w:rPr>
            <w:tab/>
          </w:r>
          <w:r>
            <w:rPr>
              <w:highlight w:val="none"/>
            </w:rPr>
            <w:fldChar w:fldCharType="begin"/>
          </w:r>
          <w:r>
            <w:rPr>
              <w:highlight w:val="none"/>
            </w:rPr>
            <w:instrText xml:space="preserve"> PAGEREF _Toc7 \h </w:instrText>
          </w:r>
          <w:r>
            <w:rPr>
              <w:highlight w:val="none"/>
            </w:rPr>
            <w:fldChar w:fldCharType="separate"/>
          </w:r>
          <w:r>
            <w:rPr>
              <w:highlight w:val="none"/>
            </w:rPr>
            <w:t>3</w:t>
          </w:r>
          <w:r>
            <w:rPr>
              <w:highlight w:val="none"/>
            </w:rPr>
            <w:fldChar w:fldCharType="end"/>
          </w:r>
          <w:r>
            <w:rPr>
              <w:highlight w:val="none"/>
            </w:rPr>
            <w:fldChar w:fldCharType="end"/>
          </w:r>
        </w:p>
        <w:p w14:paraId="6FA075EB">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_Toc10285 </w:instrText>
          </w:r>
          <w:r>
            <w:rPr>
              <w:highlight w:val="none"/>
            </w:rPr>
            <w:fldChar w:fldCharType="separate"/>
          </w:r>
          <w:r>
            <w:rPr>
              <w:rFonts w:hint="eastAsia"/>
              <w:bCs w:val="0"/>
              <w:iCs/>
              <w:highlight w:val="none"/>
              <w:lang w:val="en-US" w:eastAsia="zh"/>
            </w:rPr>
            <w:t>6.5 减排量核算</w:t>
          </w:r>
          <w:r>
            <w:rPr>
              <w:highlight w:val="none"/>
            </w:rPr>
            <w:tab/>
          </w:r>
          <w:r>
            <w:rPr>
              <w:highlight w:val="none"/>
            </w:rPr>
            <w:fldChar w:fldCharType="begin"/>
          </w:r>
          <w:r>
            <w:rPr>
              <w:highlight w:val="none"/>
            </w:rPr>
            <w:instrText xml:space="preserve"> PAGEREF _Toc10285 \h </w:instrText>
          </w:r>
          <w:r>
            <w:rPr>
              <w:highlight w:val="none"/>
            </w:rPr>
            <w:fldChar w:fldCharType="separate"/>
          </w:r>
          <w:r>
            <w:rPr>
              <w:highlight w:val="none"/>
            </w:rPr>
            <w:t>3</w:t>
          </w:r>
          <w:r>
            <w:rPr>
              <w:highlight w:val="none"/>
            </w:rPr>
            <w:fldChar w:fldCharType="end"/>
          </w:r>
          <w:r>
            <w:rPr>
              <w:highlight w:val="none"/>
            </w:rPr>
            <w:fldChar w:fldCharType="end"/>
          </w:r>
        </w:p>
        <w:p w14:paraId="547FDE34">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_Toc24374 </w:instrText>
          </w:r>
          <w:r>
            <w:rPr>
              <w:highlight w:val="none"/>
            </w:rPr>
            <w:fldChar w:fldCharType="separate"/>
          </w:r>
          <w:r>
            <w:rPr>
              <w:rFonts w:hint="eastAsia"/>
              <w:highlight w:val="none"/>
            </w:rPr>
            <w:t>7</w:t>
          </w:r>
          <w:r>
            <w:rPr>
              <w:highlight w:val="none"/>
            </w:rPr>
            <w:t xml:space="preserve"> 数据来源及监测</w:t>
          </w:r>
          <w:r>
            <w:rPr>
              <w:highlight w:val="none"/>
            </w:rPr>
            <w:tab/>
          </w:r>
          <w:r>
            <w:rPr>
              <w:highlight w:val="none"/>
            </w:rPr>
            <w:fldChar w:fldCharType="begin"/>
          </w:r>
          <w:r>
            <w:rPr>
              <w:highlight w:val="none"/>
            </w:rPr>
            <w:instrText xml:space="preserve"> PAGEREF _Toc24374 \h </w:instrText>
          </w:r>
          <w:r>
            <w:rPr>
              <w:highlight w:val="none"/>
            </w:rPr>
            <w:fldChar w:fldCharType="separate"/>
          </w:r>
          <w:r>
            <w:rPr>
              <w:highlight w:val="none"/>
            </w:rPr>
            <w:t>3</w:t>
          </w:r>
          <w:r>
            <w:rPr>
              <w:highlight w:val="none"/>
            </w:rPr>
            <w:fldChar w:fldCharType="end"/>
          </w:r>
          <w:r>
            <w:rPr>
              <w:highlight w:val="none"/>
            </w:rPr>
            <w:fldChar w:fldCharType="end"/>
          </w:r>
        </w:p>
        <w:p w14:paraId="38500CA2">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_Toc20442 </w:instrText>
          </w:r>
          <w:r>
            <w:rPr>
              <w:highlight w:val="none"/>
            </w:rPr>
            <w:fldChar w:fldCharType="separate"/>
          </w:r>
          <w:r>
            <w:rPr>
              <w:rFonts w:hint="eastAsia"/>
              <w:bCs w:val="0"/>
              <w:iCs/>
              <w:highlight w:val="none"/>
              <w:lang w:val="en-US" w:eastAsia="zh"/>
            </w:rPr>
            <w:t>7.1 事前需确定的参数和数据</w:t>
          </w:r>
          <w:r>
            <w:rPr>
              <w:highlight w:val="none"/>
            </w:rPr>
            <w:tab/>
          </w:r>
          <w:r>
            <w:rPr>
              <w:highlight w:val="none"/>
            </w:rPr>
            <w:fldChar w:fldCharType="begin"/>
          </w:r>
          <w:r>
            <w:rPr>
              <w:highlight w:val="none"/>
            </w:rPr>
            <w:instrText xml:space="preserve"> PAGEREF _Toc20442 \h </w:instrText>
          </w:r>
          <w:r>
            <w:rPr>
              <w:highlight w:val="none"/>
            </w:rPr>
            <w:fldChar w:fldCharType="separate"/>
          </w:r>
          <w:r>
            <w:rPr>
              <w:highlight w:val="none"/>
            </w:rPr>
            <w:t>3</w:t>
          </w:r>
          <w:r>
            <w:rPr>
              <w:highlight w:val="none"/>
            </w:rPr>
            <w:fldChar w:fldCharType="end"/>
          </w:r>
          <w:r>
            <w:rPr>
              <w:highlight w:val="none"/>
            </w:rPr>
            <w:fldChar w:fldCharType="end"/>
          </w:r>
        </w:p>
        <w:p w14:paraId="2FCCAEC1">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_Toc4132 </w:instrText>
          </w:r>
          <w:r>
            <w:rPr>
              <w:highlight w:val="none"/>
            </w:rPr>
            <w:fldChar w:fldCharType="separate"/>
          </w:r>
          <w:r>
            <w:rPr>
              <w:rFonts w:hint="eastAsia"/>
              <w:bCs w:val="0"/>
              <w:iCs/>
              <w:highlight w:val="none"/>
              <w:lang w:val="en-US" w:eastAsia="zh"/>
            </w:rPr>
            <w:t>7.</w:t>
          </w:r>
          <w:r>
            <w:rPr>
              <w:rFonts w:hint="eastAsia"/>
              <w:bCs w:val="0"/>
              <w:iCs/>
              <w:highlight w:val="none"/>
              <w:lang w:val="en-US" w:eastAsia="zh-CN"/>
            </w:rPr>
            <w:t>2</w:t>
          </w:r>
          <w:r>
            <w:rPr>
              <w:rFonts w:hint="eastAsia"/>
              <w:bCs w:val="0"/>
              <w:iCs/>
              <w:highlight w:val="none"/>
              <w:lang w:val="en-US" w:eastAsia="zh"/>
            </w:rPr>
            <w:t xml:space="preserve"> </w:t>
          </w:r>
          <w:r>
            <w:rPr>
              <w:rFonts w:hint="eastAsia"/>
              <w:bCs w:val="0"/>
              <w:iCs/>
              <w:highlight w:val="none"/>
              <w:lang w:val="en-US" w:eastAsia="zh-CN"/>
            </w:rPr>
            <w:t>实施阶段</w:t>
          </w:r>
          <w:r>
            <w:rPr>
              <w:rFonts w:hint="eastAsia"/>
              <w:bCs w:val="0"/>
              <w:iCs/>
              <w:highlight w:val="none"/>
              <w:lang w:val="en-US" w:eastAsia="zh"/>
            </w:rPr>
            <w:t>需</w:t>
          </w:r>
          <w:r>
            <w:rPr>
              <w:rFonts w:hint="eastAsia"/>
              <w:bCs w:val="0"/>
              <w:iCs/>
              <w:highlight w:val="none"/>
              <w:lang w:val="en-US" w:eastAsia="zh-CN"/>
            </w:rPr>
            <w:t>监测和</w:t>
          </w:r>
          <w:r>
            <w:rPr>
              <w:rFonts w:hint="eastAsia"/>
              <w:bCs w:val="0"/>
              <w:iCs/>
              <w:highlight w:val="none"/>
              <w:lang w:val="en-US" w:eastAsia="zh"/>
            </w:rPr>
            <w:t>确定的参数和数据</w:t>
          </w:r>
          <w:r>
            <w:rPr>
              <w:highlight w:val="none"/>
            </w:rPr>
            <w:tab/>
          </w:r>
          <w:r>
            <w:rPr>
              <w:highlight w:val="none"/>
            </w:rPr>
            <w:fldChar w:fldCharType="begin"/>
          </w:r>
          <w:r>
            <w:rPr>
              <w:highlight w:val="none"/>
            </w:rPr>
            <w:instrText xml:space="preserve"> PAGEREF _Toc4132 \h </w:instrText>
          </w:r>
          <w:r>
            <w:rPr>
              <w:highlight w:val="none"/>
            </w:rPr>
            <w:fldChar w:fldCharType="separate"/>
          </w:r>
          <w:r>
            <w:rPr>
              <w:highlight w:val="none"/>
            </w:rPr>
            <w:t>4</w:t>
          </w:r>
          <w:r>
            <w:rPr>
              <w:highlight w:val="none"/>
            </w:rPr>
            <w:fldChar w:fldCharType="end"/>
          </w:r>
          <w:r>
            <w:rPr>
              <w:highlight w:val="none"/>
            </w:rPr>
            <w:fldChar w:fldCharType="end"/>
          </w:r>
        </w:p>
        <w:p w14:paraId="4BA6095D">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_Toc24149 </w:instrText>
          </w:r>
          <w:r>
            <w:rPr>
              <w:highlight w:val="none"/>
            </w:rPr>
            <w:fldChar w:fldCharType="separate"/>
          </w:r>
          <w:r>
            <w:rPr>
              <w:rFonts w:hint="eastAsia"/>
              <w:bCs w:val="0"/>
              <w:iCs/>
              <w:highlight w:val="none"/>
              <w:lang w:val="en-US" w:eastAsia="zh-CN"/>
            </w:rPr>
            <w:t xml:space="preserve">7.3 </w:t>
          </w:r>
          <w:r>
            <w:rPr>
              <w:rFonts w:hint="eastAsia"/>
              <w:bCs w:val="0"/>
              <w:iCs/>
              <w:highlight w:val="none"/>
              <w:lang w:val="en-US" w:eastAsia="zh"/>
            </w:rPr>
            <w:t>实施及监测的数据管理要求</w:t>
          </w:r>
          <w:r>
            <w:rPr>
              <w:highlight w:val="none"/>
            </w:rPr>
            <w:tab/>
          </w:r>
          <w:r>
            <w:rPr>
              <w:highlight w:val="none"/>
            </w:rPr>
            <w:fldChar w:fldCharType="begin"/>
          </w:r>
          <w:r>
            <w:rPr>
              <w:highlight w:val="none"/>
            </w:rPr>
            <w:instrText xml:space="preserve"> PAGEREF _Toc24149 \h </w:instrText>
          </w:r>
          <w:r>
            <w:rPr>
              <w:highlight w:val="none"/>
            </w:rPr>
            <w:fldChar w:fldCharType="separate"/>
          </w:r>
          <w:r>
            <w:rPr>
              <w:highlight w:val="none"/>
            </w:rPr>
            <w:t>4</w:t>
          </w:r>
          <w:r>
            <w:rPr>
              <w:highlight w:val="none"/>
            </w:rPr>
            <w:fldChar w:fldCharType="end"/>
          </w:r>
          <w:r>
            <w:rPr>
              <w:highlight w:val="none"/>
            </w:rPr>
            <w:fldChar w:fldCharType="end"/>
          </w:r>
        </w:p>
        <w:p w14:paraId="08FF13D4">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_Toc13702 </w:instrText>
          </w:r>
          <w:r>
            <w:rPr>
              <w:highlight w:val="none"/>
            </w:rPr>
            <w:fldChar w:fldCharType="separate"/>
          </w:r>
          <w:r>
            <w:rPr>
              <w:rFonts w:hint="eastAsia"/>
              <w:highlight w:val="none"/>
            </w:rPr>
            <w:t>8 方法学编制单位</w:t>
          </w:r>
          <w:r>
            <w:rPr>
              <w:highlight w:val="none"/>
            </w:rPr>
            <w:tab/>
          </w:r>
          <w:r>
            <w:rPr>
              <w:highlight w:val="none"/>
            </w:rPr>
            <w:fldChar w:fldCharType="begin"/>
          </w:r>
          <w:r>
            <w:rPr>
              <w:highlight w:val="none"/>
            </w:rPr>
            <w:instrText xml:space="preserve"> PAGEREF _Toc13702 \h </w:instrText>
          </w:r>
          <w:r>
            <w:rPr>
              <w:highlight w:val="none"/>
            </w:rPr>
            <w:fldChar w:fldCharType="separate"/>
          </w:r>
          <w:r>
            <w:rPr>
              <w:highlight w:val="none"/>
            </w:rPr>
            <w:t>4</w:t>
          </w:r>
          <w:r>
            <w:rPr>
              <w:highlight w:val="none"/>
            </w:rPr>
            <w:fldChar w:fldCharType="end"/>
          </w:r>
          <w:r>
            <w:rPr>
              <w:highlight w:val="none"/>
            </w:rPr>
            <w:fldChar w:fldCharType="end"/>
          </w:r>
        </w:p>
        <w:p w14:paraId="045835AC">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_Toc24025 </w:instrText>
          </w:r>
          <w:r>
            <w:rPr>
              <w:highlight w:val="none"/>
            </w:rPr>
            <w:fldChar w:fldCharType="separate"/>
          </w:r>
          <w:r>
            <w:rPr>
              <w:rFonts w:hint="eastAsia" w:cs="Times New Roman"/>
              <w:highlight w:val="none"/>
            </w:rPr>
            <w:t>附录</w:t>
          </w:r>
          <w:r>
            <w:rPr>
              <w:highlight w:val="none"/>
            </w:rPr>
            <w:tab/>
          </w:r>
          <w:r>
            <w:rPr>
              <w:highlight w:val="none"/>
            </w:rPr>
            <w:fldChar w:fldCharType="begin"/>
          </w:r>
          <w:r>
            <w:rPr>
              <w:highlight w:val="none"/>
            </w:rPr>
            <w:instrText xml:space="preserve"> PAGEREF _Toc24025 \h </w:instrText>
          </w:r>
          <w:r>
            <w:rPr>
              <w:highlight w:val="none"/>
            </w:rPr>
            <w:fldChar w:fldCharType="separate"/>
          </w:r>
          <w:r>
            <w:rPr>
              <w:highlight w:val="none"/>
            </w:rPr>
            <w:t>5</w:t>
          </w:r>
          <w:r>
            <w:rPr>
              <w:highlight w:val="none"/>
            </w:rPr>
            <w:fldChar w:fldCharType="end"/>
          </w:r>
          <w:r>
            <w:rPr>
              <w:highlight w:val="none"/>
            </w:rPr>
            <w:fldChar w:fldCharType="end"/>
          </w:r>
        </w:p>
        <w:p w14:paraId="39A476E9">
          <w:pPr>
            <w:rPr>
              <w:rFonts w:ascii="Times New Roman" w:hAnsi="Times New Roman" w:eastAsia="宋体" w:cstheme="minorBidi"/>
              <w:kern w:val="2"/>
              <w:sz w:val="21"/>
              <w:szCs w:val="21"/>
              <w:highlight w:val="none"/>
              <w:lang w:val="en-US" w:eastAsia="zh-CN" w:bidi="ar-SA"/>
            </w:rPr>
          </w:pPr>
          <w:r>
            <w:rPr>
              <w:highlight w:val="none"/>
            </w:rPr>
            <w:fldChar w:fldCharType="end"/>
          </w:r>
        </w:p>
      </w:sdtContent>
    </w:sdt>
    <w:p w14:paraId="5C0CFC10">
      <w:pPr>
        <w:pStyle w:val="2"/>
        <w:rPr>
          <w:highlight w:val="none"/>
        </w:rPr>
        <w:sectPr>
          <w:footerReference r:id="rId11"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14:paraId="3510D920">
      <w:pPr>
        <w:pStyle w:val="3"/>
        <w:spacing w:before="312" w:after="312"/>
        <w:rPr>
          <w:rFonts w:cs="Times New Roman"/>
          <w:color w:val="auto"/>
          <w:highlight w:val="none"/>
        </w:rPr>
      </w:pPr>
      <w:bookmarkStart w:id="0" w:name="_Toc78"/>
      <w:bookmarkStart w:id="1" w:name="_Toc19693"/>
      <w:bookmarkStart w:id="2" w:name="_Toc172906183"/>
      <w:r>
        <w:rPr>
          <w:rFonts w:cs="Times New Roman"/>
          <w:color w:val="auto"/>
          <w:highlight w:val="none"/>
        </w:rPr>
        <w:t>1 引言</w:t>
      </w:r>
      <w:bookmarkEnd w:id="0"/>
      <w:bookmarkEnd w:id="1"/>
      <w:bookmarkEnd w:id="2"/>
    </w:p>
    <w:p w14:paraId="2B28372B">
      <w:pPr>
        <w:ind w:firstLine="420"/>
        <w:rPr>
          <w:rFonts w:hint="default" w:eastAsia="宋体" w:cs="Times New Roman"/>
          <w:color w:val="auto"/>
          <w:highlight w:val="none"/>
          <w:lang w:val="en-US" w:eastAsia="zh-CN"/>
        </w:rPr>
      </w:pPr>
      <w:r>
        <w:rPr>
          <w:rFonts w:hint="eastAsia" w:cs="Times New Roman"/>
          <w:color w:val="auto"/>
          <w:highlight w:val="none"/>
          <w:lang w:val="en-US" w:eastAsia="zh-CN"/>
        </w:rPr>
        <w:t>废弃产品分类回收碳普惠方法学旨在通过碳普惠机制引导和鼓励公众在日常生活中积极参与废弃产品的分类与回收，推动再生资源的高效循环利用，减少废弃产品焚烧过程中产生的温室气体排放，促进循环经济发展。个人对废弃产品进行分类与交投，并将其纳入正规资源化回收利用渠道的行为，可以按照本方法学核算碳普惠减排量</w:t>
      </w:r>
      <w:r>
        <w:rPr>
          <w:rFonts w:hint="eastAsia" w:cs="Times New Roman"/>
          <w:color w:val="auto"/>
          <w:highlight w:val="none"/>
          <w:lang w:eastAsia="zh-CN"/>
        </w:rPr>
        <w:t>（</w:t>
      </w:r>
      <w:r>
        <w:rPr>
          <w:rFonts w:hint="eastAsia" w:cs="Times New Roman"/>
          <w:color w:val="auto"/>
          <w:highlight w:val="none"/>
          <w:lang w:val="en-US" w:eastAsia="zh-CN"/>
        </w:rPr>
        <w:t>以下简称“减排量”</w:t>
      </w:r>
      <w:r>
        <w:rPr>
          <w:rFonts w:hint="eastAsia" w:cs="Times New Roman"/>
          <w:color w:val="auto"/>
          <w:highlight w:val="none"/>
          <w:lang w:eastAsia="zh-CN"/>
        </w:rPr>
        <w:t>）</w:t>
      </w:r>
      <w:r>
        <w:rPr>
          <w:rFonts w:hint="eastAsia" w:cs="Times New Roman"/>
          <w:color w:val="auto"/>
          <w:highlight w:val="none"/>
          <w:lang w:val="en-US" w:eastAsia="zh-CN"/>
        </w:rPr>
        <w:t>。</w:t>
      </w:r>
    </w:p>
    <w:p w14:paraId="591CE5B5">
      <w:pPr>
        <w:pStyle w:val="3"/>
        <w:spacing w:before="312" w:after="312"/>
        <w:rPr>
          <w:rFonts w:cs="Times New Roman"/>
          <w:color w:val="auto"/>
          <w:highlight w:val="none"/>
        </w:rPr>
      </w:pPr>
      <w:bookmarkStart w:id="3" w:name="_Toc172906184"/>
      <w:bookmarkStart w:id="4" w:name="_Toc29486"/>
      <w:bookmarkStart w:id="5" w:name="_Toc15832"/>
      <w:r>
        <w:rPr>
          <w:rFonts w:cs="Times New Roman"/>
          <w:color w:val="auto"/>
          <w:highlight w:val="none"/>
        </w:rPr>
        <w:t>2 适用条件</w:t>
      </w:r>
      <w:bookmarkEnd w:id="3"/>
      <w:bookmarkEnd w:id="4"/>
      <w:bookmarkEnd w:id="5"/>
    </w:p>
    <w:p w14:paraId="65A542B7">
      <w:pPr>
        <w:ind w:firstLine="420"/>
        <w:rPr>
          <w:rFonts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w:t>
      </w:r>
      <w:r>
        <w:rPr>
          <w:rFonts w:hint="eastAsia" w:cs="Times New Roman"/>
          <w:color w:val="auto"/>
          <w:highlight w:val="none"/>
        </w:rPr>
        <w:t>本方法学适用于个人（下文“用户”所指相同）</w:t>
      </w:r>
      <w:r>
        <w:rPr>
          <w:rFonts w:hint="eastAsia" w:cs="Times New Roman"/>
          <w:color w:val="auto"/>
          <w:highlight w:val="none"/>
          <w:lang w:val="en-US" w:eastAsia="zh-CN"/>
        </w:rPr>
        <w:t>在日常生活场景中主动对废弃纸类、塑料、玻璃、金属、纺织物、电器等六大类废弃产品（以下简称“废弃产品”）进行分类、交投与回收以替代废弃产品直接焚烧的行为</w:t>
      </w:r>
      <w:r>
        <w:rPr>
          <w:rFonts w:hint="eastAsia" w:cs="Times New Roman"/>
          <w:color w:val="auto"/>
          <w:highlight w:val="none"/>
        </w:rPr>
        <w:t>。</w:t>
      </w:r>
      <w:bookmarkStart w:id="6" w:name="OLE_LINK13"/>
    </w:p>
    <w:bookmarkEnd w:id="6"/>
    <w:p w14:paraId="7BECE062">
      <w:pPr>
        <w:ind w:firstLine="420"/>
        <w:rPr>
          <w:rFonts w:hint="eastAsia" w:eastAsia="宋体" w:cs="Times New Roman"/>
          <w:highlight w:val="none"/>
          <w:lang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rPr>
        <w:t>）应用本方法学产生的减排量</w:t>
      </w:r>
      <w:r>
        <w:rPr>
          <w:rFonts w:hint="eastAsia" w:cs="Times New Roman"/>
          <w:highlight w:val="none"/>
          <w:lang w:eastAsia="zh-CN"/>
        </w:rPr>
        <w:t>，</w:t>
      </w:r>
      <w:r>
        <w:rPr>
          <w:rFonts w:hint="eastAsia" w:cs="Times New Roman"/>
          <w:highlight w:val="none"/>
        </w:rPr>
        <w:t>不可用于抵销纳入</w:t>
      </w:r>
      <w:r>
        <w:rPr>
          <w:rFonts w:hint="eastAsia" w:cs="Times New Roman"/>
          <w:highlight w:val="none"/>
          <w:lang w:val="en-US" w:eastAsia="zh-CN"/>
        </w:rPr>
        <w:t>吉林省</w:t>
      </w:r>
      <w:r>
        <w:rPr>
          <w:rFonts w:hint="eastAsia" w:cs="Times New Roman"/>
          <w:highlight w:val="none"/>
        </w:rPr>
        <w:t>碳排放配额管理的重点排放单位的年度碳排放量</w:t>
      </w:r>
      <w:r>
        <w:rPr>
          <w:rFonts w:hint="eastAsia" w:cs="Times New Roman"/>
          <w:highlight w:val="none"/>
          <w:lang w:eastAsia="zh-CN"/>
        </w:rPr>
        <w:t>。</w:t>
      </w:r>
    </w:p>
    <w:p w14:paraId="49751D41">
      <w:pPr>
        <w:numPr>
          <w:ilvl w:val="0"/>
          <w:numId w:val="0"/>
        </w:numPr>
        <w:ind w:firstLine="420" w:firstLineChars="200"/>
        <w:rPr>
          <w:rFonts w:hint="eastAsia"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3</w:t>
      </w:r>
      <w:r>
        <w:rPr>
          <w:rFonts w:hint="eastAsia" w:cs="Times New Roman"/>
          <w:color w:val="auto"/>
          <w:highlight w:val="none"/>
        </w:rPr>
        <w:t>）同一用户就同一</w:t>
      </w:r>
      <w:r>
        <w:rPr>
          <w:rFonts w:hint="eastAsia" w:cs="Times New Roman"/>
          <w:color w:val="auto"/>
          <w:highlight w:val="none"/>
          <w:lang w:val="en-US" w:eastAsia="zh-CN"/>
        </w:rPr>
        <w:t>碳普惠</w:t>
      </w:r>
      <w:r>
        <w:rPr>
          <w:rFonts w:hint="eastAsia" w:cs="Times New Roman"/>
          <w:color w:val="auto"/>
          <w:highlight w:val="none"/>
        </w:rPr>
        <w:t>行为产生的减排量，应仅通过一个碳普惠平台进行核算与申请，不得跨平台重复</w:t>
      </w:r>
      <w:r>
        <w:rPr>
          <w:rFonts w:hint="eastAsia" w:cs="Times New Roman"/>
          <w:color w:val="auto"/>
          <w:highlight w:val="none"/>
          <w:lang w:val="en-US" w:eastAsia="zh-CN"/>
        </w:rPr>
        <w:t>申请</w:t>
      </w:r>
      <w:r>
        <w:rPr>
          <w:rFonts w:hint="eastAsia" w:cs="Times New Roman"/>
          <w:color w:val="auto"/>
          <w:highlight w:val="none"/>
        </w:rPr>
        <w:t>。</w:t>
      </w:r>
    </w:p>
    <w:p w14:paraId="1A544746">
      <w:pPr>
        <w:pStyle w:val="3"/>
        <w:spacing w:before="312" w:after="312"/>
        <w:rPr>
          <w:rFonts w:cs="Times New Roman"/>
          <w:color w:val="auto"/>
          <w:highlight w:val="none"/>
        </w:rPr>
      </w:pPr>
      <w:bookmarkStart w:id="7" w:name="_Toc30006"/>
      <w:bookmarkStart w:id="8" w:name="_Toc29842"/>
      <w:bookmarkStart w:id="9" w:name="_Toc172906185"/>
      <w:r>
        <w:rPr>
          <w:rFonts w:cs="Times New Roman"/>
          <w:color w:val="auto"/>
          <w:highlight w:val="none"/>
        </w:rPr>
        <w:t xml:space="preserve">3 </w:t>
      </w:r>
      <w:r>
        <w:rPr>
          <w:rFonts w:hint="eastAsia" w:cs="Times New Roman"/>
          <w:color w:val="auto"/>
          <w:highlight w:val="none"/>
        </w:rPr>
        <w:t>规范性</w:t>
      </w:r>
      <w:r>
        <w:rPr>
          <w:rFonts w:cs="Times New Roman"/>
          <w:color w:val="auto"/>
          <w:highlight w:val="none"/>
        </w:rPr>
        <w:t>引用文件</w:t>
      </w:r>
      <w:bookmarkEnd w:id="7"/>
      <w:bookmarkEnd w:id="8"/>
      <w:bookmarkEnd w:id="9"/>
    </w:p>
    <w:p w14:paraId="2B891AD8">
      <w:pPr>
        <w:ind w:firstLine="420"/>
        <w:rPr>
          <w:rFonts w:cs="Times New Roman"/>
          <w:color w:val="auto"/>
          <w:highlight w:val="none"/>
        </w:rPr>
      </w:pPr>
      <w:r>
        <w:rPr>
          <w:rFonts w:hint="eastAsia" w:cs="Times New Roman"/>
          <w:color w:val="auto"/>
          <w:highlight w:val="none"/>
        </w:rPr>
        <w:t>本文件引用了下列文件或</w:t>
      </w:r>
      <w:r>
        <w:rPr>
          <w:rFonts w:hint="eastAsia" w:cs="Times New Roman"/>
          <w:color w:val="auto"/>
          <w:highlight w:val="none"/>
          <w:lang w:val="en-US" w:eastAsia="zh-CN"/>
        </w:rPr>
        <w:t>其中</w:t>
      </w:r>
      <w:r>
        <w:rPr>
          <w:rFonts w:hint="eastAsia" w:cs="Times New Roman"/>
          <w:color w:val="auto"/>
          <w:highlight w:val="none"/>
        </w:rPr>
        <w:t>条款</w:t>
      </w:r>
      <w:r>
        <w:rPr>
          <w:rFonts w:hint="eastAsia" w:cs="Times New Roman"/>
          <w:color w:val="auto"/>
          <w:highlight w:val="none"/>
          <w:lang w:eastAsia="zh-CN"/>
        </w:rPr>
        <w:t>，</w:t>
      </w:r>
      <w:r>
        <w:rPr>
          <w:rFonts w:hint="eastAsia" w:cs="Times New Roman"/>
          <w:color w:val="auto"/>
          <w:highlight w:val="none"/>
        </w:rPr>
        <w:t>其有效版本（包括所有的修改单）适用于本文件。</w:t>
      </w:r>
    </w:p>
    <w:p w14:paraId="39B0BF57">
      <w:pPr>
        <w:ind w:firstLine="420"/>
        <w:rPr>
          <w:rFonts w:hint="eastAsia" w:cs="Times New Roman"/>
          <w:color w:val="auto"/>
          <w:highlight w:val="none"/>
          <w:lang w:val="en-US" w:eastAsia="zh-CN"/>
        </w:rPr>
      </w:pPr>
      <w:r>
        <w:rPr>
          <w:rFonts w:hint="eastAsia" w:cs="Times New Roman"/>
          <w:color w:val="auto"/>
          <w:highlight w:val="none"/>
          <w:lang w:val="en-US" w:eastAsia="zh-CN"/>
        </w:rPr>
        <w:t>GB/T 20861 《废弃产品回收利用术语》</w:t>
      </w:r>
    </w:p>
    <w:p w14:paraId="4C8E726F">
      <w:pPr>
        <w:ind w:firstLine="420"/>
        <w:rPr>
          <w:rFonts w:hint="eastAsia" w:cs="Times New Roman"/>
          <w:color w:val="auto"/>
          <w:highlight w:val="none"/>
          <w:lang w:val="en-US" w:eastAsia="zh-CN"/>
        </w:rPr>
      </w:pPr>
      <w:r>
        <w:rPr>
          <w:rFonts w:hint="eastAsia" w:cs="Times New Roman"/>
          <w:color w:val="auto"/>
          <w:highlight w:val="none"/>
          <w:lang w:val="en-US" w:eastAsia="zh-CN"/>
        </w:rPr>
        <w:t>GB/T 37515 《再生资源回收体系建设规范》</w:t>
      </w:r>
    </w:p>
    <w:p w14:paraId="19BF9A22">
      <w:pPr>
        <w:ind w:firstLine="420"/>
        <w:rPr>
          <w:rFonts w:hint="default"/>
          <w:color w:val="auto"/>
          <w:highlight w:val="none"/>
          <w:lang w:val="en-US" w:eastAsia="zh-CN"/>
        </w:rPr>
      </w:pPr>
      <w:r>
        <w:rPr>
          <w:rFonts w:hint="eastAsia" w:cs="Times New Roman"/>
          <w:color w:val="auto"/>
          <w:highlight w:val="none"/>
          <w:lang w:val="en-US" w:eastAsia="zh-CN"/>
        </w:rPr>
        <w:t>GB/T 45732 《再生资源回收体系 回收站点建设规范》</w:t>
      </w:r>
    </w:p>
    <w:p w14:paraId="5211444C">
      <w:pPr>
        <w:ind w:firstLine="420"/>
        <w:rPr>
          <w:rFonts w:hint="eastAsia" w:cs="Times New Roman"/>
          <w:color w:val="auto"/>
          <w:highlight w:val="none"/>
          <w:lang w:val="en-US" w:eastAsia="zh-CN"/>
        </w:rPr>
      </w:pPr>
      <w:r>
        <w:rPr>
          <w:rFonts w:hint="eastAsia" w:cs="Times New Roman"/>
          <w:color w:val="auto"/>
          <w:highlight w:val="none"/>
          <w:lang w:val="en-US" w:eastAsia="zh-CN"/>
        </w:rPr>
        <w:t>DB33/T 1379 《生活垃圾分类居民碳账户应用规范》</w:t>
      </w:r>
    </w:p>
    <w:p w14:paraId="1D87AD9E">
      <w:pPr>
        <w:pStyle w:val="3"/>
        <w:spacing w:before="312" w:after="312"/>
        <w:rPr>
          <w:rFonts w:cs="Times New Roman"/>
          <w:color w:val="auto"/>
          <w:highlight w:val="none"/>
        </w:rPr>
      </w:pPr>
      <w:bookmarkStart w:id="10" w:name="_Toc27236"/>
      <w:bookmarkStart w:id="11" w:name="_Toc172906186"/>
      <w:bookmarkStart w:id="12" w:name="_Toc6483"/>
      <w:r>
        <w:rPr>
          <w:rFonts w:cs="Times New Roman"/>
          <w:color w:val="auto"/>
          <w:highlight w:val="none"/>
        </w:rPr>
        <w:t>4 术语和定义</w:t>
      </w:r>
      <w:bookmarkEnd w:id="10"/>
      <w:bookmarkEnd w:id="11"/>
      <w:bookmarkEnd w:id="12"/>
    </w:p>
    <w:p w14:paraId="4F853477">
      <w:pPr>
        <w:pStyle w:val="2"/>
        <w:outlineLvl w:val="2"/>
        <w:rPr>
          <w:rFonts w:hint="eastAsia" w:ascii="Times New Roman" w:hAnsi="Times New Roman" w:cs="Times New Roman"/>
          <w:bCs w:val="0"/>
          <w:iCs/>
          <w:highlight w:val="none"/>
          <w:lang w:val="en-US" w:eastAsia="zh-CN"/>
        </w:rPr>
      </w:pPr>
      <w:bookmarkStart w:id="13" w:name="_Toc175936555"/>
      <w:bookmarkStart w:id="14" w:name="_Toc21600"/>
      <w:bookmarkStart w:id="15" w:name="_Toc175936557"/>
      <w:bookmarkStart w:id="16" w:name="_Toc9040"/>
      <w:bookmarkStart w:id="17" w:name="_Toc12794"/>
      <w:r>
        <w:rPr>
          <w:rFonts w:hint="eastAsia" w:ascii="Times New Roman" w:hAnsi="Times New Roman" w:cs="Times New Roman"/>
          <w:bCs w:val="0"/>
          <w:iCs/>
          <w:highlight w:val="none"/>
          <w:lang w:val="en-US" w:eastAsia="zh-CN"/>
        </w:rPr>
        <w:t>4.1</w:t>
      </w:r>
      <w:bookmarkEnd w:id="13"/>
      <w:r>
        <w:rPr>
          <w:rFonts w:hint="eastAsia" w:ascii="Times New Roman" w:hAnsi="Times New Roman" w:cs="Times New Roman"/>
          <w:bCs w:val="0"/>
          <w:iCs/>
          <w:highlight w:val="none"/>
          <w:lang w:val="en-US" w:eastAsia="zh-CN"/>
        </w:rPr>
        <w:t>碳普惠机制</w:t>
      </w:r>
      <w:bookmarkEnd w:id="14"/>
    </w:p>
    <w:p w14:paraId="7AEE8E01">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14:paraId="25CC0256">
      <w:pPr>
        <w:pStyle w:val="2"/>
        <w:outlineLvl w:val="2"/>
        <w:rPr>
          <w:rFonts w:hint="eastAsia" w:ascii="Times New Roman" w:hAnsi="Times New Roman" w:cs="Times New Roman"/>
          <w:bCs w:val="0"/>
          <w:iCs/>
          <w:highlight w:val="none"/>
          <w:lang w:val="en-US" w:eastAsia="zh-CN"/>
        </w:rPr>
      </w:pPr>
      <w:bookmarkStart w:id="18" w:name="_Toc17805"/>
      <w:bookmarkStart w:id="19" w:name="_Toc175936556"/>
      <w:r>
        <w:rPr>
          <w:rFonts w:hint="eastAsia" w:cs="Times New Roman"/>
          <w:bCs w:val="0"/>
          <w:iCs/>
          <w:highlight w:val="none"/>
          <w:lang w:val="en-US" w:eastAsia="zh-CN"/>
        </w:rPr>
        <w:t>4.2</w:t>
      </w:r>
      <w:r>
        <w:rPr>
          <w:rFonts w:hint="eastAsia" w:ascii="Times New Roman" w:hAnsi="Times New Roman" w:cs="Times New Roman"/>
          <w:bCs w:val="0"/>
          <w:iCs/>
          <w:highlight w:val="none"/>
          <w:lang w:val="en-US" w:eastAsia="zh-CN"/>
        </w:rPr>
        <w:t>碳普惠减排量</w:t>
      </w:r>
    </w:p>
    <w:p w14:paraId="547AC757">
      <w:pPr>
        <w:ind w:firstLine="420"/>
        <w:rPr>
          <w:rFonts w:hint="default" w:cs="Times New Roman"/>
          <w:highlight w:val="none"/>
          <w:lang w:val="en-US" w:eastAsia="zh-CN"/>
        </w:rPr>
      </w:pPr>
      <w:r>
        <w:rPr>
          <w:rFonts w:hint="eastAsia" w:cs="Times New Roman"/>
          <w:highlight w:val="none"/>
          <w:lang w:val="en-US" w:eastAsia="zh-CN"/>
        </w:rPr>
        <w:t>指在碳普惠平台汇集的公众减排行为产生的减排量，简称“减排量”。</w:t>
      </w:r>
    </w:p>
    <w:bookmarkEnd w:id="18"/>
    <w:bookmarkEnd w:id="19"/>
    <w:p w14:paraId="0B795853">
      <w:pPr>
        <w:pStyle w:val="2"/>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4.</w:t>
      </w:r>
      <w:bookmarkEnd w:id="15"/>
      <w:r>
        <w:rPr>
          <w:rFonts w:hint="eastAsia" w:cs="Times New Roman"/>
          <w:bCs w:val="0"/>
          <w:iCs/>
          <w:highlight w:val="none"/>
          <w:lang w:val="en-US" w:eastAsia="zh-CN"/>
        </w:rPr>
        <w:t>3</w:t>
      </w:r>
      <w:r>
        <w:rPr>
          <w:rFonts w:hint="eastAsia" w:ascii="Times New Roman" w:hAnsi="Times New Roman" w:cs="Times New Roman"/>
          <w:bCs w:val="0"/>
          <w:iCs/>
          <w:highlight w:val="none"/>
          <w:lang w:val="en-US" w:eastAsia="zh-CN"/>
        </w:rPr>
        <w:t>碳普惠平台</w:t>
      </w:r>
      <w:bookmarkEnd w:id="16"/>
      <w:bookmarkEnd w:id="17"/>
    </w:p>
    <w:p w14:paraId="57AD0A58">
      <w:pPr>
        <w:ind w:firstLine="420"/>
        <w:rPr>
          <w:rFonts w:hint="eastAsia" w:cs="Times New Roman"/>
          <w:color w:val="auto"/>
          <w:highlight w:val="none"/>
        </w:rPr>
      </w:pPr>
      <w:r>
        <w:rPr>
          <w:rFonts w:hint="eastAsia" w:cs="Times New Roman"/>
          <w:color w:val="auto"/>
          <w:highlight w:val="none"/>
        </w:rPr>
        <w:t>由吉林省生态环境厅指导建设的具备碳账户开立服务、减排量登记管理、个人减排行为奖励等功能的服务平台。</w:t>
      </w:r>
    </w:p>
    <w:p w14:paraId="749B8278">
      <w:pPr>
        <w:pStyle w:val="2"/>
        <w:outlineLvl w:val="2"/>
        <w:rPr>
          <w:rFonts w:hint="eastAsia" w:ascii="Times New Roman" w:hAnsi="Times New Roman" w:cs="Times New Roman"/>
          <w:bCs w:val="0"/>
          <w:iCs/>
          <w:highlight w:val="none"/>
          <w:lang w:val="en-US" w:eastAsia="zh-CN"/>
        </w:rPr>
      </w:pPr>
      <w:bookmarkStart w:id="20" w:name="_Toc6134"/>
      <w:bookmarkStart w:id="21" w:name="_Toc27144"/>
      <w:r>
        <w:rPr>
          <w:rFonts w:hint="eastAsia" w:ascii="Times New Roman" w:hAnsi="Times New Roman" w:cs="Times New Roman"/>
          <w:bCs w:val="0"/>
          <w:iCs/>
          <w:highlight w:val="none"/>
          <w:lang w:val="en-US" w:eastAsia="zh-CN"/>
        </w:rPr>
        <w:t>4.</w:t>
      </w:r>
      <w:r>
        <w:rPr>
          <w:rFonts w:hint="eastAsia" w:cs="Times New Roman"/>
          <w:bCs w:val="0"/>
          <w:iCs/>
          <w:highlight w:val="none"/>
          <w:lang w:val="en-US" w:eastAsia="zh-CN"/>
        </w:rPr>
        <w:t>4</w:t>
      </w:r>
      <w:r>
        <w:rPr>
          <w:rFonts w:hint="eastAsia" w:ascii="Times New Roman" w:hAnsi="Times New Roman" w:cs="Times New Roman"/>
          <w:bCs w:val="0"/>
          <w:iCs/>
          <w:highlight w:val="none"/>
          <w:lang w:val="en-US" w:eastAsia="zh-CN"/>
        </w:rPr>
        <w:t>数据来源平台</w:t>
      </w:r>
      <w:bookmarkEnd w:id="20"/>
      <w:bookmarkEnd w:id="21"/>
    </w:p>
    <w:p w14:paraId="6AB2FDB3">
      <w:pPr>
        <w:ind w:firstLine="420"/>
        <w:rPr>
          <w:rFonts w:hint="default" w:cs="Times New Roman"/>
          <w:color w:val="auto"/>
          <w:highlight w:val="none"/>
          <w:lang w:val="en-US" w:eastAsia="zh-CN"/>
        </w:rPr>
      </w:pPr>
      <w:r>
        <w:rPr>
          <w:rFonts w:hint="eastAsia" w:cs="Times New Roman"/>
          <w:color w:val="auto"/>
          <w:highlight w:val="none"/>
          <w:lang w:val="en-US" w:eastAsia="zh-CN"/>
        </w:rPr>
        <w:t>指直接产生并记录用户碳普惠行为相关原始数据的第三方平台，其提供的数据是核算碳普惠行为减排量的重要依据。</w:t>
      </w:r>
    </w:p>
    <w:p w14:paraId="13A7535B">
      <w:pPr>
        <w:pStyle w:val="3"/>
        <w:spacing w:before="312" w:after="312"/>
        <w:rPr>
          <w:rFonts w:cs="Times New Roman"/>
          <w:color w:val="auto"/>
          <w:highlight w:val="none"/>
        </w:rPr>
      </w:pPr>
      <w:bookmarkStart w:id="22" w:name="_Toc26697"/>
      <w:bookmarkStart w:id="23" w:name="_Toc172906187"/>
      <w:bookmarkStart w:id="24" w:name="_Toc24848"/>
      <w:r>
        <w:rPr>
          <w:rFonts w:cs="Times New Roman"/>
          <w:color w:val="auto"/>
          <w:highlight w:val="none"/>
        </w:rPr>
        <w:t xml:space="preserve">5 </w:t>
      </w:r>
      <w:r>
        <w:rPr>
          <w:rFonts w:hint="eastAsia" w:cs="Times New Roman"/>
          <w:color w:val="auto"/>
          <w:highlight w:val="none"/>
        </w:rPr>
        <w:t>核算边界、计入期和</w:t>
      </w:r>
      <w:r>
        <w:rPr>
          <w:rFonts w:cs="Times New Roman"/>
          <w:color w:val="auto"/>
          <w:highlight w:val="none"/>
        </w:rPr>
        <w:t>排放源</w:t>
      </w:r>
      <w:bookmarkEnd w:id="22"/>
      <w:bookmarkEnd w:id="23"/>
      <w:bookmarkEnd w:id="24"/>
    </w:p>
    <w:p w14:paraId="4B977ED8">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25" w:name="_Toc175936561"/>
      <w:bookmarkStart w:id="26" w:name="_Toc20130"/>
      <w:bookmarkStart w:id="27" w:name="_Toc164770397"/>
      <w:bookmarkStart w:id="28" w:name="_Toc18186"/>
      <w:bookmarkStart w:id="29" w:name="_Toc27228"/>
      <w:r>
        <w:rPr>
          <w:rFonts w:hint="eastAsia"/>
          <w:bCs w:val="0"/>
          <w:iCs/>
          <w:color w:val="000000" w:themeColor="text1"/>
          <w:highlight w:val="none"/>
          <w:lang w:val="en-US" w:eastAsia="zh-CN"/>
          <w14:textFill>
            <w14:solidFill>
              <w14:schemeClr w14:val="tx1"/>
            </w14:solidFill>
          </w14:textFill>
        </w:rPr>
        <w:t>5.1 核算边界</w:t>
      </w:r>
      <w:bookmarkEnd w:id="25"/>
      <w:bookmarkEnd w:id="26"/>
      <w:bookmarkEnd w:id="27"/>
      <w:bookmarkEnd w:id="28"/>
      <w:bookmarkEnd w:id="29"/>
    </w:p>
    <w:p w14:paraId="7F157493">
      <w:pPr>
        <w:ind w:firstLine="420"/>
        <w:rPr>
          <w:rFonts w:hint="default"/>
          <w:color w:val="auto"/>
          <w:highlight w:val="none"/>
          <w:lang w:val="en-US" w:eastAsia="zh-CN"/>
        </w:rPr>
      </w:pPr>
      <w:r>
        <w:rPr>
          <w:rFonts w:hint="eastAsia" w:cs="Times New Roman"/>
          <w:color w:val="auto"/>
          <w:highlight w:val="none"/>
          <w:lang w:val="en-US" w:eastAsia="zh-CN"/>
        </w:rPr>
        <w:t>本方法学核算边界为通过分类与交投行为完成的废弃产品回收活动涉及的范围，本方法学核算的温室气体种类为二氧化碳。</w:t>
      </w:r>
    </w:p>
    <w:p w14:paraId="3A758AC8">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30" w:name="_Toc15818"/>
      <w:bookmarkStart w:id="31" w:name="_Toc19281"/>
      <w:bookmarkStart w:id="32" w:name="_Toc175936562"/>
      <w:bookmarkStart w:id="33" w:name="_Toc164770398"/>
      <w:r>
        <w:rPr>
          <w:rFonts w:hint="eastAsia"/>
          <w:bCs w:val="0"/>
          <w:iCs/>
          <w:color w:val="000000" w:themeColor="text1"/>
          <w:highlight w:val="none"/>
          <w:lang w:val="en-US" w:eastAsia="zh-CN"/>
          <w14:textFill>
            <w14:solidFill>
              <w14:schemeClr w14:val="tx1"/>
            </w14:solidFill>
          </w14:textFill>
        </w:rPr>
        <w:t>5.2 计入期</w:t>
      </w:r>
      <w:bookmarkEnd w:id="30"/>
      <w:bookmarkEnd w:id="31"/>
      <w:bookmarkEnd w:id="32"/>
      <w:bookmarkEnd w:id="33"/>
    </w:p>
    <w:p w14:paraId="66B07137">
      <w:pPr>
        <w:pStyle w:val="10"/>
        <w:rPr>
          <w:rFonts w:hint="eastAsia" w:ascii="Times New Roman" w:hAnsi="Times New Roman"/>
          <w:color w:val="000000" w:themeColor="text1"/>
          <w:highlight w:val="none"/>
          <w14:textFill>
            <w14:solidFill>
              <w14:schemeClr w14:val="tx1"/>
            </w14:solidFill>
          </w14:textFill>
        </w:rPr>
      </w:pPr>
      <w:bookmarkStart w:id="34" w:name="_Hlk164769081"/>
      <w:bookmarkStart w:id="35" w:name="_Toc164770399"/>
      <w:bookmarkStart w:id="36" w:name="_Toc175936563"/>
      <w:bookmarkStart w:id="37" w:name="_Toc27624"/>
      <w:bookmarkStart w:id="38" w:name="_Toc22971"/>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34"/>
    <w:p w14:paraId="73AB74B4">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39" w:name="_Toc2323"/>
      <w:r>
        <w:rPr>
          <w:rFonts w:hint="eastAsia"/>
          <w:bCs w:val="0"/>
          <w:iCs/>
          <w:color w:val="000000" w:themeColor="text1"/>
          <w:highlight w:val="none"/>
          <w:lang w:val="en-US" w:eastAsia="zh-CN"/>
          <w14:textFill>
            <w14:solidFill>
              <w14:schemeClr w14:val="tx1"/>
            </w14:solidFill>
          </w14:textFill>
        </w:rPr>
        <w:t>5.3 温室气体排放源</w:t>
      </w:r>
      <w:bookmarkEnd w:id="35"/>
      <w:bookmarkEnd w:id="36"/>
      <w:bookmarkEnd w:id="37"/>
      <w:bookmarkEnd w:id="38"/>
      <w:bookmarkEnd w:id="39"/>
    </w:p>
    <w:p w14:paraId="6E2395D7">
      <w:pPr>
        <w:ind w:firstLine="420"/>
        <w:rPr>
          <w:rFonts w:cs="Times New Roman"/>
          <w:color w:val="auto"/>
          <w:highlight w:val="none"/>
        </w:rPr>
      </w:pPr>
      <w:r>
        <w:rPr>
          <w:rFonts w:hint="eastAsia" w:cs="Times New Roman"/>
          <w:color w:val="auto"/>
          <w:highlight w:val="none"/>
        </w:rPr>
        <w:t>核算</w:t>
      </w:r>
      <w:r>
        <w:rPr>
          <w:rFonts w:cs="Times New Roman"/>
          <w:color w:val="auto"/>
          <w:highlight w:val="none"/>
        </w:rPr>
        <w:t>边界内所涉及的排放源及温室气体种类如下：</w:t>
      </w:r>
    </w:p>
    <w:p w14:paraId="28976C72">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auto"/>
          <w:kern w:val="0"/>
          <w:highlight w:val="none"/>
          <w:lang w:eastAsia="en-US"/>
        </w:rPr>
      </w:pPr>
      <w:r>
        <w:rPr>
          <w:rFonts w:hint="eastAsia"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eastAsia="en-US"/>
        </w:rPr>
        <w:t>1 核算边界内温室气体种类</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4111"/>
        <w:gridCol w:w="2548"/>
      </w:tblGrid>
      <w:tr w14:paraId="24E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pct"/>
            <w:gridSpan w:val="2"/>
            <w:vAlign w:val="center"/>
          </w:tcPr>
          <w:p w14:paraId="1A2EBD2F">
            <w:pPr>
              <w:ind w:firstLine="0" w:firstLineChars="0"/>
              <w:jc w:val="center"/>
              <w:rPr>
                <w:rFonts w:cs="Times New Roman"/>
                <w:color w:val="auto"/>
                <w:sz w:val="18"/>
                <w:szCs w:val="18"/>
                <w:highlight w:val="none"/>
              </w:rPr>
            </w:pPr>
            <w:r>
              <w:rPr>
                <w:rFonts w:hint="eastAsia" w:cs="Times New Roman"/>
                <w:color w:val="auto"/>
                <w:sz w:val="18"/>
                <w:szCs w:val="18"/>
                <w:highlight w:val="none"/>
              </w:rPr>
              <w:t>温室气体排放源</w:t>
            </w:r>
          </w:p>
        </w:tc>
        <w:tc>
          <w:tcPr>
            <w:tcW w:w="1495" w:type="pct"/>
            <w:vAlign w:val="center"/>
          </w:tcPr>
          <w:p w14:paraId="3D469468">
            <w:pPr>
              <w:ind w:firstLine="0" w:firstLineChars="0"/>
              <w:jc w:val="center"/>
              <w:rPr>
                <w:rFonts w:cs="Times New Roman"/>
                <w:color w:val="auto"/>
                <w:sz w:val="18"/>
                <w:szCs w:val="18"/>
                <w:highlight w:val="none"/>
              </w:rPr>
            </w:pPr>
            <w:r>
              <w:rPr>
                <w:rFonts w:hint="eastAsia" w:cs="Times New Roman"/>
                <w:color w:val="auto"/>
                <w:sz w:val="18"/>
                <w:szCs w:val="18"/>
                <w:highlight w:val="none"/>
              </w:rPr>
              <w:t>温室气体种类</w:t>
            </w:r>
          </w:p>
        </w:tc>
      </w:tr>
      <w:tr w14:paraId="501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pct"/>
            <w:vAlign w:val="center"/>
          </w:tcPr>
          <w:p w14:paraId="7610C94D">
            <w:pPr>
              <w:ind w:firstLine="0" w:firstLineChars="0"/>
              <w:jc w:val="center"/>
              <w:rPr>
                <w:rFonts w:cs="Times New Roman"/>
                <w:color w:val="auto"/>
                <w:sz w:val="18"/>
                <w:szCs w:val="18"/>
                <w:highlight w:val="none"/>
              </w:rPr>
            </w:pPr>
            <w:r>
              <w:rPr>
                <w:rFonts w:ascii="Times New Roman" w:hAnsi="Times New Roman" w:cs="Times New Roman"/>
                <w:color w:val="auto"/>
                <w:kern w:val="0"/>
                <w:sz w:val="18"/>
                <w:szCs w:val="18"/>
                <w:highlight w:val="none"/>
              </w:rPr>
              <w:t>基准线</w:t>
            </w:r>
            <w:r>
              <w:rPr>
                <w:rFonts w:hint="eastAsia" w:ascii="Times New Roman" w:hAnsi="Times New Roman" w:cs="Times New Roman"/>
                <w:color w:val="auto"/>
                <w:kern w:val="0"/>
                <w:sz w:val="18"/>
                <w:szCs w:val="18"/>
                <w:highlight w:val="none"/>
                <w:lang w:eastAsia="zh"/>
              </w:rPr>
              <w:t>情景</w:t>
            </w:r>
          </w:p>
        </w:tc>
        <w:tc>
          <w:tcPr>
            <w:tcW w:w="2411" w:type="pct"/>
            <w:vAlign w:val="center"/>
          </w:tcPr>
          <w:p w14:paraId="74E094A7">
            <w:pPr>
              <w:ind w:firstLine="0" w:firstLineChars="0"/>
              <w:rPr>
                <w:rFonts w:hint="default" w:eastAsia="宋体" w:cs="Times New Roman"/>
                <w:color w:val="auto"/>
                <w:sz w:val="18"/>
                <w:szCs w:val="18"/>
                <w:highlight w:val="none"/>
                <w:lang w:val="en-US" w:eastAsia="zh-CN"/>
              </w:rPr>
            </w:pPr>
            <w:r>
              <w:rPr>
                <w:rFonts w:hint="eastAsia" w:cs="Times New Roman"/>
                <w:color w:val="auto"/>
                <w:kern w:val="0"/>
                <w:sz w:val="18"/>
                <w:szCs w:val="18"/>
                <w:highlight w:val="none"/>
                <w:lang w:val="en-US" w:eastAsia="zh-CN"/>
              </w:rPr>
              <w:t>废弃产品作为垃圾进行焚烧</w:t>
            </w:r>
          </w:p>
        </w:tc>
        <w:tc>
          <w:tcPr>
            <w:tcW w:w="1495" w:type="pct"/>
            <w:vAlign w:val="center"/>
          </w:tcPr>
          <w:p w14:paraId="0D0774E3">
            <w:pPr>
              <w:ind w:firstLine="0" w:firstLineChars="0"/>
              <w:jc w:val="center"/>
              <w:rPr>
                <w:rFonts w:cs="Times New Roman"/>
                <w:color w:val="auto"/>
                <w:sz w:val="18"/>
                <w:szCs w:val="18"/>
                <w:highlight w:val="none"/>
              </w:rPr>
            </w:pPr>
            <w:r>
              <w:rPr>
                <w:rFonts w:hint="eastAsia" w:ascii="Times New Roman" w:hAnsi="Times New Roman" w:cs="Times New Roman"/>
                <w:color w:val="auto"/>
                <w:kern w:val="0"/>
                <w:sz w:val="18"/>
                <w:szCs w:val="18"/>
                <w:highlight w:val="none"/>
              </w:rPr>
              <w:t>二氧化碳（</w:t>
            </w:r>
            <w:r>
              <w:rPr>
                <w:rFonts w:ascii="Times New Roman" w:hAnsi="Times New Roman" w:cs="Times New Roman"/>
                <w:color w:val="auto"/>
                <w:kern w:val="0"/>
                <w:sz w:val="18"/>
                <w:szCs w:val="18"/>
                <w:highlight w:val="none"/>
              </w:rPr>
              <w:t>CO</w:t>
            </w:r>
            <w:r>
              <w:rPr>
                <w:rFonts w:ascii="Times New Roman" w:hAnsi="Times New Roman" w:cs="Times New Roman"/>
                <w:color w:val="auto"/>
                <w:kern w:val="0"/>
                <w:sz w:val="18"/>
                <w:szCs w:val="18"/>
                <w:highlight w:val="none"/>
                <w:vertAlign w:val="subscript"/>
              </w:rPr>
              <w:t>2</w:t>
            </w:r>
            <w:r>
              <w:rPr>
                <w:rFonts w:hint="eastAsia" w:ascii="Times New Roman" w:hAnsi="Times New Roman" w:cs="Times New Roman"/>
                <w:color w:val="auto"/>
                <w:kern w:val="0"/>
                <w:sz w:val="18"/>
                <w:szCs w:val="18"/>
                <w:highlight w:val="none"/>
              </w:rPr>
              <w:t>）</w:t>
            </w:r>
          </w:p>
        </w:tc>
      </w:tr>
      <w:tr w14:paraId="0E76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pct"/>
            <w:vAlign w:val="center"/>
          </w:tcPr>
          <w:p w14:paraId="66751E70">
            <w:pPr>
              <w:ind w:firstLine="0" w:firstLineChars="0"/>
              <w:jc w:val="center"/>
              <w:rPr>
                <w:rFonts w:cs="Times New Roman"/>
                <w:color w:val="auto"/>
                <w:sz w:val="18"/>
                <w:szCs w:val="18"/>
                <w:highlight w:val="none"/>
              </w:rPr>
            </w:pPr>
            <w:r>
              <w:rPr>
                <w:rFonts w:hint="eastAsia" w:ascii="Times New Roman" w:hAnsi="Times New Roman" w:cs="Times New Roman"/>
                <w:color w:val="auto"/>
                <w:kern w:val="0"/>
                <w:sz w:val="18"/>
                <w:szCs w:val="18"/>
                <w:highlight w:val="none"/>
              </w:rPr>
              <w:t>碳普惠情景</w:t>
            </w:r>
          </w:p>
        </w:tc>
        <w:tc>
          <w:tcPr>
            <w:tcW w:w="2411" w:type="pct"/>
            <w:vAlign w:val="center"/>
          </w:tcPr>
          <w:p w14:paraId="06511E04">
            <w:pPr>
              <w:ind w:firstLine="0" w:firstLineChars="0"/>
              <w:rPr>
                <w:rFonts w:hint="default" w:cs="Times New Roman"/>
                <w:color w:val="auto"/>
                <w:sz w:val="18"/>
                <w:szCs w:val="18"/>
                <w:highlight w:val="none"/>
                <w:lang w:val="en-US"/>
              </w:rPr>
            </w:pPr>
            <w:r>
              <w:rPr>
                <w:rFonts w:hint="eastAsia" w:cs="Times New Roman"/>
                <w:color w:val="auto"/>
                <w:kern w:val="0"/>
                <w:sz w:val="18"/>
                <w:szCs w:val="18"/>
                <w:highlight w:val="none"/>
                <w:lang w:val="en-US" w:eastAsia="zh-CN"/>
              </w:rPr>
              <w:t>废弃产品分类与交投后作为再生资源被回收利用</w:t>
            </w:r>
          </w:p>
        </w:tc>
        <w:tc>
          <w:tcPr>
            <w:tcW w:w="1495" w:type="pct"/>
            <w:vAlign w:val="center"/>
          </w:tcPr>
          <w:p w14:paraId="647773AE">
            <w:pPr>
              <w:ind w:firstLine="0" w:firstLineChars="0"/>
              <w:jc w:val="center"/>
              <w:rPr>
                <w:rFonts w:cs="Times New Roman"/>
                <w:color w:val="auto"/>
                <w:sz w:val="18"/>
                <w:szCs w:val="18"/>
                <w:highlight w:val="none"/>
              </w:rPr>
            </w:pPr>
            <w:r>
              <w:rPr>
                <w:rFonts w:hint="eastAsia" w:ascii="Times New Roman" w:hAnsi="Times New Roman" w:cs="Times New Roman"/>
                <w:color w:val="auto"/>
                <w:kern w:val="0"/>
                <w:sz w:val="18"/>
                <w:szCs w:val="18"/>
                <w:highlight w:val="none"/>
              </w:rPr>
              <w:t>二氧化碳（</w:t>
            </w:r>
            <w:r>
              <w:rPr>
                <w:rFonts w:ascii="Times New Roman" w:hAnsi="Times New Roman" w:cs="Times New Roman"/>
                <w:color w:val="auto"/>
                <w:kern w:val="0"/>
                <w:sz w:val="18"/>
                <w:szCs w:val="18"/>
                <w:highlight w:val="none"/>
              </w:rPr>
              <w:t>CO</w:t>
            </w:r>
            <w:r>
              <w:rPr>
                <w:rFonts w:ascii="Times New Roman" w:hAnsi="Times New Roman" w:cs="Times New Roman"/>
                <w:color w:val="auto"/>
                <w:kern w:val="0"/>
                <w:sz w:val="18"/>
                <w:szCs w:val="18"/>
                <w:highlight w:val="none"/>
                <w:vertAlign w:val="subscript"/>
              </w:rPr>
              <w:t>2</w:t>
            </w:r>
            <w:r>
              <w:rPr>
                <w:rFonts w:hint="eastAsia" w:ascii="Times New Roman" w:hAnsi="Times New Roman" w:cs="Times New Roman"/>
                <w:color w:val="auto"/>
                <w:kern w:val="0"/>
                <w:sz w:val="18"/>
                <w:szCs w:val="18"/>
                <w:highlight w:val="none"/>
              </w:rPr>
              <w:t>）</w:t>
            </w:r>
          </w:p>
        </w:tc>
      </w:tr>
    </w:tbl>
    <w:p w14:paraId="6AF4DF53">
      <w:pPr>
        <w:pStyle w:val="3"/>
        <w:spacing w:before="312" w:after="312"/>
        <w:rPr>
          <w:rFonts w:hint="eastAsia" w:cs="Times New Roman"/>
          <w:color w:val="auto"/>
          <w:highlight w:val="none"/>
        </w:rPr>
      </w:pPr>
      <w:bookmarkStart w:id="40" w:name="_Toc4949"/>
      <w:bookmarkStart w:id="41" w:name="_Toc172906188"/>
      <w:bookmarkStart w:id="42" w:name="_Toc11101"/>
      <w:r>
        <w:rPr>
          <w:rFonts w:hint="eastAsia" w:cs="Times New Roman"/>
          <w:color w:val="auto"/>
          <w:highlight w:val="none"/>
        </w:rPr>
        <w:t>6 减排量核算</w:t>
      </w:r>
      <w:bookmarkEnd w:id="40"/>
      <w:r>
        <w:rPr>
          <w:rFonts w:hint="eastAsia" w:cs="Times New Roman"/>
          <w:color w:val="auto"/>
          <w:highlight w:val="none"/>
        </w:rPr>
        <w:t>方法</w:t>
      </w:r>
      <w:bookmarkEnd w:id="41"/>
      <w:bookmarkEnd w:id="42"/>
    </w:p>
    <w:p w14:paraId="3106797B">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43" w:name="_Toc164770401"/>
      <w:bookmarkStart w:id="44" w:name="_Toc175936565"/>
      <w:bookmarkStart w:id="45" w:name="_Toc31108"/>
      <w:bookmarkStart w:id="46" w:name="_Toc19391"/>
      <w:bookmarkStart w:id="47" w:name="_Toc3264"/>
      <w:r>
        <w:rPr>
          <w:rFonts w:hint="eastAsia"/>
          <w:bCs w:val="0"/>
          <w:iCs/>
          <w:color w:val="000000" w:themeColor="text1"/>
          <w:highlight w:val="none"/>
          <w:lang w:val="en-US" w:eastAsia="zh-CN"/>
          <w14:textFill>
            <w14:solidFill>
              <w14:schemeClr w14:val="tx1"/>
            </w14:solidFill>
          </w14:textFill>
        </w:rPr>
        <w:t>6.1 基准线情景识别</w:t>
      </w:r>
      <w:bookmarkEnd w:id="43"/>
      <w:bookmarkEnd w:id="44"/>
      <w:bookmarkEnd w:id="45"/>
      <w:bookmarkEnd w:id="46"/>
      <w:bookmarkEnd w:id="47"/>
    </w:p>
    <w:p w14:paraId="2E903274">
      <w:pPr>
        <w:ind w:firstLine="420"/>
        <w:rPr>
          <w:rFonts w:hint="default" w:eastAsia="宋体" w:cs="Times New Roman"/>
          <w:color w:val="auto"/>
          <w:kern w:val="0"/>
          <w:highlight w:val="none"/>
          <w:lang w:val="en-US" w:eastAsia="zh-CN"/>
        </w:rPr>
      </w:pPr>
      <w:bookmarkStart w:id="48" w:name="_Toc8566"/>
      <w:bookmarkStart w:id="49" w:name="_Toc20771"/>
      <w:bookmarkStart w:id="50" w:name="_Toc175936566"/>
      <w:bookmarkStart w:id="51" w:name="_Toc164770402"/>
      <w:r>
        <w:rPr>
          <w:rFonts w:hint="eastAsia" w:cs="Times New Roman"/>
          <w:color w:val="auto"/>
          <w:kern w:val="0"/>
          <w:highlight w:val="none"/>
        </w:rPr>
        <w:t>本方法学基准线情景为</w:t>
      </w:r>
      <w:r>
        <w:rPr>
          <w:rFonts w:hint="eastAsia" w:cs="Times New Roman"/>
          <w:color w:val="auto"/>
          <w:kern w:val="0"/>
          <w:highlight w:val="none"/>
          <w:lang w:val="en-US" w:eastAsia="zh-CN"/>
        </w:rPr>
        <w:t>个人产生的废弃产品进入城市垃圾处理系统，作为垃圾进行焚烧</w:t>
      </w:r>
      <w:r>
        <w:rPr>
          <w:rFonts w:hint="eastAsia" w:cs="Times New Roman"/>
          <w:color w:val="000000" w:themeColor="text1"/>
          <w:kern w:val="0"/>
          <w:highlight w:val="none"/>
          <w14:textFill>
            <w14:solidFill>
              <w14:schemeClr w14:val="tx1"/>
            </w14:solidFill>
          </w14:textFill>
        </w:rPr>
        <w:t>。</w:t>
      </w:r>
    </w:p>
    <w:p w14:paraId="5E7591DF">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52" w:name="_Toc22766"/>
      <w:r>
        <w:rPr>
          <w:rFonts w:hint="eastAsia"/>
          <w:bCs w:val="0"/>
          <w:iCs/>
          <w:color w:val="000000" w:themeColor="text1"/>
          <w:highlight w:val="none"/>
          <w:lang w:val="en-US" w:eastAsia="zh-CN"/>
          <w14:textFill>
            <w14:solidFill>
              <w14:schemeClr w14:val="tx1"/>
            </w14:solidFill>
          </w14:textFill>
        </w:rPr>
        <w:t>6.2 额外性论证</w:t>
      </w:r>
      <w:bookmarkEnd w:id="48"/>
      <w:bookmarkEnd w:id="49"/>
      <w:bookmarkEnd w:id="50"/>
      <w:bookmarkEnd w:id="51"/>
      <w:bookmarkEnd w:id="52"/>
    </w:p>
    <w:p w14:paraId="433C1AF0">
      <w:pPr>
        <w:ind w:firstLine="420"/>
        <w:rPr>
          <w:rFonts w:hint="eastAsia" w:cs="Times New Roman"/>
          <w:color w:val="auto"/>
          <w:kern w:val="0"/>
          <w:highlight w:val="none"/>
          <w:lang w:val="en-US" w:eastAsia="zh-CN"/>
        </w:rPr>
      </w:pPr>
      <w:r>
        <w:rPr>
          <w:rFonts w:hint="eastAsia" w:cs="Times New Roman"/>
          <w:color w:val="auto"/>
          <w:kern w:val="0"/>
          <w:highlight w:val="none"/>
          <w:lang w:val="en-US" w:eastAsia="zh-CN"/>
        </w:rPr>
        <w:t>废弃产品回收是吉林省持续推进资源节约循环利用，建设“无废城市”的重要方式之一，对废弃产品进行分类和回收可以减少废弃产品进行焚烧所产生的温室气体排放。同时，通过碳普惠机制引导公众规范进行废弃产品分类、交投与回收，不仅能提升吉林省废弃产品回收利用效率，还能增强公众对资源节约与减排行为的感知，助力构建绿色低碳循环发展经济体系，形成全社会参与资源循环利用的良好风尚，具有积极的社会效益。</w:t>
      </w:r>
    </w:p>
    <w:p w14:paraId="750FF05F">
      <w:pPr>
        <w:ind w:firstLine="420"/>
        <w:rPr>
          <w:rFonts w:hint="default" w:eastAsia="宋体" w:cs="Times New Roman"/>
          <w:color w:val="auto"/>
          <w:kern w:val="0"/>
          <w:highlight w:val="none"/>
          <w:lang w:val="en-US" w:eastAsia="zh-CN"/>
        </w:rPr>
      </w:pPr>
      <w:r>
        <w:rPr>
          <w:rFonts w:hint="eastAsia" w:cs="Times New Roman"/>
          <w:color w:val="auto"/>
          <w:kern w:val="0"/>
          <w:highlight w:val="none"/>
          <w:lang w:val="en-US" w:eastAsia="zh-CN"/>
        </w:rPr>
        <w:t>采用本方法学的碳普惠情景免于额外性论证。</w:t>
      </w:r>
    </w:p>
    <w:p w14:paraId="2EDBB2AB">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53" w:name="_Toc164770403"/>
      <w:bookmarkStart w:id="54" w:name="_Toc175936567"/>
      <w:bookmarkStart w:id="55" w:name="_Toc17812"/>
      <w:bookmarkStart w:id="56" w:name="_Toc17662"/>
      <w:bookmarkStart w:id="57" w:name="_Toc25152"/>
      <w:r>
        <w:rPr>
          <w:rFonts w:hint="eastAsia"/>
          <w:bCs w:val="0"/>
          <w:iCs/>
          <w:color w:val="000000" w:themeColor="text1"/>
          <w:highlight w:val="none"/>
          <w:lang w:val="en-US" w:eastAsia="zh-CN"/>
          <w14:textFill>
            <w14:solidFill>
              <w14:schemeClr w14:val="tx1"/>
            </w14:solidFill>
          </w14:textFill>
        </w:rPr>
        <w:t>6.3 基准线情景排放量计算</w:t>
      </w:r>
      <w:bookmarkEnd w:id="53"/>
      <w:bookmarkEnd w:id="54"/>
      <w:bookmarkEnd w:id="55"/>
      <w:bookmarkEnd w:id="56"/>
      <w:bookmarkEnd w:id="57"/>
    </w:p>
    <w:p w14:paraId="0FC50D4F">
      <w:pPr>
        <w:ind w:firstLine="420"/>
        <w:rPr>
          <w:rFonts w:hint="eastAsia" w:cs="Times New Roman"/>
          <w:color w:val="auto"/>
          <w:kern w:val="0"/>
          <w:highlight w:val="none"/>
        </w:rPr>
      </w:pPr>
      <w:r>
        <w:rPr>
          <w:rFonts w:hint="eastAsia" w:cs="Times New Roman"/>
          <w:color w:val="auto"/>
          <w:kern w:val="0"/>
          <w:highlight w:val="none"/>
          <w:lang w:val="en-US" w:eastAsia="zh-CN"/>
        </w:rPr>
        <w:t>基准线情景碳排放量按公式（1）计算</w:t>
      </w:r>
      <w:r>
        <w:rPr>
          <w:rFonts w:hint="eastAsia" w:cs="Times New Roman"/>
          <w:color w:val="auto"/>
          <w:kern w:val="0"/>
          <w:highlight w:val="none"/>
        </w:rPr>
        <w:t>：</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14:paraId="306C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14:paraId="2954BF5F">
            <w:pPr>
              <w:spacing w:line="0" w:lineRule="atLeast"/>
              <w:ind w:firstLine="420"/>
              <w:jc w:val="center"/>
              <w:rPr>
                <w:rFonts w:hint="eastAsia" w:eastAsia="宋体" w:cs="Times New Roman"/>
                <w:i/>
                <w:iCs/>
                <w:color w:val="auto"/>
                <w:kern w:val="0"/>
                <w:highlight w:val="none"/>
                <w:lang w:eastAsia="zh-CN"/>
              </w:rPr>
            </w:pPr>
            <m:oMathPara>
              <m:oMath>
                <w:bookmarkStart w:id="58" w:name="OLE_LINK34"/>
                <m:r>
                  <m:rPr/>
                  <w:rPr>
                    <w:rFonts w:ascii="Cambria Math" w:hAnsi="Cambria Math" w:cs="Times New Roman"/>
                    <w:color w:val="auto"/>
                    <w:kern w:val="0"/>
                    <w:highlight w:val="none"/>
                  </w:rPr>
                  <m:t>BE</m:t>
                </m:r>
                <w:bookmarkEnd w:id="58"/>
                <m:r>
                  <m:rPr>
                    <m:sty m:val="p"/>
                  </m:rPr>
                  <w:rPr>
                    <w:rFonts w:ascii="Cambria Math" w:hAnsi="Cambria Math" w:cs="Times New Roman"/>
                    <w:color w:val="auto"/>
                    <w:kern w:val="0"/>
                    <w:highlight w:val="none"/>
                  </w:rPr>
                  <m:t>=</m:t>
                </m:r>
                <m:nary>
                  <m:naryPr>
                    <m:chr m:val="∑"/>
                    <m:limLoc m:val="subSup"/>
                    <m:ctrlPr>
                      <w:rPr>
                        <w:rFonts w:ascii="Cambria Math" w:hAnsi="Cambria Math" w:cs="Times New Roman"/>
                        <w:b w:val="0"/>
                        <w:i/>
                        <w:iCs/>
                        <w:color w:val="auto"/>
                        <w:kern w:val="0"/>
                        <w:highlight w:val="none"/>
                      </w:rPr>
                    </m:ctrlPr>
                  </m:naryPr>
                  <m:sub>
                    <m:r>
                      <m:rPr/>
                      <w:rPr>
                        <w:rFonts w:hint="default" w:ascii="Cambria Math" w:hAnsi="Cambria Math" w:cs="Times New Roman"/>
                        <w:color w:val="auto"/>
                        <w:kern w:val="0"/>
                        <w:highlight w:val="none"/>
                        <w:lang w:val="en-US" w:eastAsia="zh-CN"/>
                      </w:rPr>
                      <m:t>i</m:t>
                    </m:r>
                    <m:ctrlPr>
                      <w:rPr>
                        <w:rFonts w:ascii="Cambria Math" w:hAnsi="Cambria Math" w:cs="Times New Roman"/>
                        <w:b w:val="0"/>
                        <w:i/>
                        <w:iCs/>
                        <w:color w:val="auto"/>
                        <w:kern w:val="0"/>
                        <w:highlight w:val="none"/>
                      </w:rPr>
                    </m:ctrlPr>
                  </m:sub>
                  <m:sup>
                    <m:r>
                      <m:rPr/>
                      <w:rPr>
                        <w:rFonts w:hint="default" w:ascii="Cambria Math" w:hAnsi="Cambria Math" w:cs="Times New Roman"/>
                        <w:color w:val="auto"/>
                        <w:kern w:val="0"/>
                        <w:highlight w:val="none"/>
                        <w:lang w:val="en-US" w:eastAsia="zh-CN"/>
                      </w:rPr>
                      <m:t>n</m:t>
                    </m:r>
                    <m:ctrlPr>
                      <w:rPr>
                        <w:rFonts w:ascii="Cambria Math" w:hAnsi="Cambria Math" w:cs="Times New Roman"/>
                        <w:b w:val="0"/>
                        <w:i/>
                        <w:iCs/>
                        <w:color w:val="auto"/>
                        <w:kern w:val="0"/>
                        <w:highlight w:val="none"/>
                      </w:rPr>
                    </m:ctrlPr>
                  </m:sup>
                  <m:e>
                    <m:r>
                      <m:rPr>
                        <m:sty m:val="p"/>
                      </m:rPr>
                      <w:rPr>
                        <w:rFonts w:hint="eastAsia" w:ascii="Cambria Math" w:hAnsi="Cambria Math" w:cs="Times New Roman"/>
                        <w:color w:val="auto"/>
                        <w:kern w:val="0"/>
                        <w:highlight w:val="none"/>
                        <w:lang w:val="en-US" w:eastAsia="zh-CN"/>
                      </w:rPr>
                      <m:t>（</m:t>
                    </m:r>
                    <m:sSub>
                      <m:sSubPr>
                        <m:ctrlPr>
                          <w:rPr>
                            <w:rFonts w:hint="default" w:ascii="Cambria Math" w:hAnsi="Cambria Math" w:cs="Times New Roman"/>
                            <w:b w:val="0"/>
                            <w:i/>
                            <w:iCs/>
                            <w:color w:val="auto"/>
                            <w:kern w:val="0"/>
                            <w:highlight w:val="none"/>
                            <w:lang w:val="en-US" w:eastAsia="zh-CN"/>
                          </w:rPr>
                        </m:ctrlPr>
                      </m:sSubPr>
                      <m:e>
                        <m:r>
                          <m:rPr/>
                          <w:rPr>
                            <w:rFonts w:hint="default" w:ascii="Cambria Math" w:hAnsi="Cambria Math" w:cs="Times New Roman"/>
                            <w:color w:val="auto"/>
                            <w:kern w:val="0"/>
                            <w:highlight w:val="none"/>
                            <w:lang w:val="en-US" w:eastAsia="zh-CN"/>
                          </w:rPr>
                          <m:t>W</m:t>
                        </m:r>
                        <m:ctrlPr>
                          <w:rPr>
                            <w:rFonts w:hint="default" w:ascii="Cambria Math" w:hAnsi="Cambria Math" w:cs="Times New Roman"/>
                            <w:b w:val="0"/>
                            <w:i/>
                            <w:iCs/>
                            <w:color w:val="auto"/>
                            <w:kern w:val="0"/>
                            <w:highlight w:val="none"/>
                            <w:lang w:val="en-US" w:eastAsia="zh-CN"/>
                          </w:rPr>
                        </m:ctrlPr>
                      </m:e>
                      <m:sub>
                        <m:r>
                          <m:rPr/>
                          <w:rPr>
                            <w:rFonts w:hint="default" w:ascii="Cambria Math" w:hAnsi="Cambria Math" w:cs="Times New Roman"/>
                            <w:color w:val="auto"/>
                            <w:kern w:val="0"/>
                            <w:highlight w:val="none"/>
                            <w:lang w:val="en-US" w:eastAsia="zh-CN"/>
                          </w:rPr>
                          <m:t>i</m:t>
                        </m:r>
                        <m:ctrlPr>
                          <w:rPr>
                            <w:rFonts w:hint="default" w:ascii="Cambria Math" w:hAnsi="Cambria Math" w:cs="Times New Roman"/>
                            <w:b w:val="0"/>
                            <w:i/>
                            <w:iCs/>
                            <w:color w:val="auto"/>
                            <w:kern w:val="0"/>
                            <w:highlight w:val="none"/>
                            <w:lang w:val="en-US" w:eastAsia="zh-CN"/>
                          </w:rPr>
                        </m:ctrlPr>
                      </m:sub>
                    </m:sSub>
                    <m:r>
                      <m:rPr/>
                      <w:rPr>
                        <w:rFonts w:ascii="Cambria Math" w:hAnsi="Cambria Math" w:cs="Times New Roman"/>
                        <w:color w:val="auto"/>
                        <w:kern w:val="0"/>
                        <w:highlight w:val="none"/>
                        <w:lang w:val="en-US"/>
                      </w:rPr>
                      <m:t>×</m:t>
                    </m:r>
                    <m:sSub>
                      <m:sSubPr>
                        <m:ctrlPr>
                          <w:rPr>
                            <w:rFonts w:ascii="Cambria Math" w:hAnsi="Cambria Math" w:cs="Times New Roman"/>
                            <w:i/>
                            <w:iCs/>
                            <w:color w:val="auto"/>
                            <w:kern w:val="0"/>
                            <w:highlight w:val="none"/>
                            <w:lang w:val="en-US"/>
                          </w:rPr>
                        </m:ctrlPr>
                      </m:sSubPr>
                      <m:e>
                        <m:r>
                          <m:rPr/>
                          <w:rPr>
                            <w:rFonts w:hint="default" w:ascii="Cambria Math" w:hAnsi="Cambria Math" w:cs="Times New Roman"/>
                            <w:color w:val="auto"/>
                            <w:kern w:val="0"/>
                            <w:highlight w:val="none"/>
                            <w:lang w:val="en-US" w:eastAsia="zh-CN"/>
                          </w:rPr>
                          <m:t>EF</m:t>
                        </m:r>
                        <m:ctrlPr>
                          <w:rPr>
                            <w:rFonts w:ascii="Cambria Math" w:hAnsi="Cambria Math" w:cs="Times New Roman"/>
                            <w:i/>
                            <w:iCs/>
                            <w:color w:val="auto"/>
                            <w:kern w:val="0"/>
                            <w:highlight w:val="none"/>
                            <w:lang w:val="en-US"/>
                          </w:rPr>
                        </m:ctrlPr>
                      </m:e>
                      <m:sub>
                        <m:r>
                          <m:rPr/>
                          <w:rPr>
                            <w:rFonts w:hint="eastAsia" w:ascii="Cambria Math" w:hAnsi="Cambria Math" w:cs="Times New Roman"/>
                            <w:color w:val="auto"/>
                            <w:kern w:val="0"/>
                            <w:highlight w:val="none"/>
                            <w:lang w:val="en-US" w:eastAsia="zh-CN"/>
                          </w:rPr>
                          <m:t>基准</m:t>
                        </m:r>
                        <m:r>
                          <m:rPr/>
                          <w:rPr>
                            <w:rFonts w:hint="default" w:ascii="Cambria Math" w:hAnsi="Cambria Math" w:cs="Times New Roman"/>
                            <w:color w:val="auto"/>
                            <w:kern w:val="0"/>
                            <w:highlight w:val="none"/>
                            <w:lang w:val="en-US" w:eastAsia="zh-CN"/>
                          </w:rPr>
                          <m:t>i</m:t>
                        </m:r>
                        <m:ctrlPr>
                          <w:rPr>
                            <w:rFonts w:ascii="Cambria Math" w:hAnsi="Cambria Math" w:cs="Times New Roman"/>
                            <w:i/>
                            <w:iCs/>
                            <w:color w:val="auto"/>
                            <w:kern w:val="0"/>
                            <w:highlight w:val="none"/>
                            <w:lang w:val="en-US"/>
                          </w:rPr>
                        </m:ctrlPr>
                      </m:sub>
                    </m:sSub>
                    <m:ctrlPr>
                      <w:rPr>
                        <w:rFonts w:ascii="Cambria Math" w:hAnsi="Cambria Math" w:cs="Times New Roman"/>
                        <w:b w:val="0"/>
                        <w:i/>
                        <w:iCs/>
                        <w:color w:val="auto"/>
                        <w:kern w:val="0"/>
                        <w:highlight w:val="none"/>
                      </w:rPr>
                    </m:ctrlPr>
                  </m:e>
                </m:nary>
                <m:r>
                  <m:rPr>
                    <m:sty m:val="p"/>
                  </m:rPr>
                  <w:rPr>
                    <w:rFonts w:hint="eastAsia" w:hAnsi="Cambria Math" w:cs="Times New Roman"/>
                    <w:color w:val="auto"/>
                    <w:kern w:val="0"/>
                    <w:highlight w:val="none"/>
                    <w:lang w:eastAsia="zh-CN"/>
                  </w:rPr>
                  <m:t>）</m:t>
                </m:r>
              </m:oMath>
            </m:oMathPara>
          </w:p>
        </w:tc>
        <w:tc>
          <w:tcPr>
            <w:tcW w:w="764" w:type="pct"/>
            <w:vAlign w:val="center"/>
          </w:tcPr>
          <w:p w14:paraId="08CCB302">
            <w:pPr>
              <w:spacing w:line="0" w:lineRule="atLeast"/>
              <w:ind w:firstLine="420"/>
              <w:jc w:val="right"/>
              <w:rPr>
                <w:rFonts w:hint="eastAsia" w:eastAsia="宋体" w:cs="Times New Roman"/>
                <w:color w:val="auto"/>
                <w:kern w:val="0"/>
                <w:szCs w:val="28"/>
                <w:highlight w:val="none"/>
                <w:lang w:eastAsia="zh-CN"/>
              </w:rPr>
            </w:pPr>
            <w:r>
              <w:rPr>
                <w:rFonts w:hint="eastAsia" w:cs="Times New Roman"/>
                <w:color w:val="auto"/>
                <w:kern w:val="0"/>
                <w:szCs w:val="28"/>
                <w:highlight w:val="none"/>
                <w:lang w:eastAsia="zh-CN"/>
              </w:rPr>
              <w:t>（</w:t>
            </w:r>
            <w:r>
              <w:rPr>
                <w:rFonts w:hint="eastAsia" w:cs="Times New Roman"/>
                <w:color w:val="auto"/>
                <w:kern w:val="0"/>
                <w:szCs w:val="28"/>
                <w:highlight w:val="none"/>
                <w:lang w:val="en-US" w:eastAsia="zh-CN"/>
              </w:rPr>
              <w:t>1</w:t>
            </w:r>
            <w:r>
              <w:rPr>
                <w:rFonts w:hint="eastAsia" w:cs="Times New Roman"/>
                <w:color w:val="auto"/>
                <w:kern w:val="0"/>
                <w:szCs w:val="28"/>
                <w:highlight w:val="none"/>
                <w:lang w:eastAsia="zh-CN"/>
              </w:rPr>
              <w:t>）</w:t>
            </w:r>
          </w:p>
        </w:tc>
      </w:tr>
    </w:tbl>
    <w:p w14:paraId="12B593E7">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cs="Times New Roman"/>
          <w:color w:val="auto"/>
          <w:szCs w:val="21"/>
          <w:highlight w:val="none"/>
        </w:rPr>
      </w:pPr>
      <w:r>
        <w:rPr>
          <w:rFonts w:hint="eastAsia" w:cs="Times New Roman"/>
          <w:color w:val="auto"/>
          <w:highlight w:val="none"/>
          <w:lang w:val="en-US" w:eastAsia="zh-CN"/>
        </w:rPr>
        <w:t>式中</w:t>
      </w:r>
      <w:r>
        <w:rPr>
          <w:rFonts w:hint="eastAsia" w:cs="Times New Roman"/>
          <w:color w:val="auto"/>
          <w:highlight w:val="none"/>
        </w:rPr>
        <w:t>：</w:t>
      </w:r>
    </w:p>
    <w:tbl>
      <w:tblPr>
        <w:tblStyle w:val="32"/>
        <w:tblW w:w="4744" w:type="pct"/>
        <w:tblInd w:w="430" w:type="dxa"/>
        <w:tblLayout w:type="fixed"/>
        <w:tblCellMar>
          <w:top w:w="0" w:type="dxa"/>
          <w:left w:w="108" w:type="dxa"/>
          <w:bottom w:w="0" w:type="dxa"/>
          <w:right w:w="108" w:type="dxa"/>
        </w:tblCellMar>
      </w:tblPr>
      <w:tblGrid>
        <w:gridCol w:w="862"/>
        <w:gridCol w:w="688"/>
        <w:gridCol w:w="6536"/>
      </w:tblGrid>
      <w:tr w14:paraId="3F5CD61E">
        <w:tblPrEx>
          <w:tblCellMar>
            <w:top w:w="0" w:type="dxa"/>
            <w:left w:w="108" w:type="dxa"/>
            <w:bottom w:w="0" w:type="dxa"/>
            <w:right w:w="108" w:type="dxa"/>
          </w:tblCellMar>
        </w:tblPrEx>
        <w:trPr>
          <w:trHeight w:val="397" w:hRule="atLeast"/>
        </w:trPr>
        <w:tc>
          <w:tcPr>
            <w:tcW w:w="533" w:type="pct"/>
            <w:vAlign w:val="center"/>
          </w:tcPr>
          <w:p w14:paraId="3C004BD3">
            <w:pPr>
              <w:pStyle w:val="24"/>
              <w:spacing w:before="60" w:after="60"/>
              <w:ind w:left="0" w:leftChars="0" w:firstLine="0" w:firstLineChars="0"/>
              <w:jc w:val="left"/>
              <w:rPr>
                <w:rFonts w:hint="eastAsia" w:ascii="Times New Roman" w:eastAsia="宋体" w:cs="Times New Roman"/>
                <w:i/>
                <w:iCs/>
                <w:color w:val="auto"/>
                <w:highlight w:val="none"/>
                <w:lang w:val="en-US" w:eastAsia="zh-CN"/>
              </w:rPr>
            </w:pPr>
            <w:bookmarkStart w:id="59" w:name="OLE_LINK36" w:colFirst="1" w:colLast="1"/>
            <w:r>
              <w:rPr>
                <w:rFonts w:hint="eastAsia" w:ascii="Cambria Math" w:hAnsi="Cambria Math" w:cs="Times New Roman"/>
                <w:i/>
                <w:iCs/>
                <w:color w:val="auto"/>
                <w:kern w:val="0"/>
                <w:highlight w:val="none"/>
                <w:lang w:val="en-US" w:eastAsia="zh-CN"/>
              </w:rPr>
              <w:t>BE</w:t>
            </w:r>
          </w:p>
        </w:tc>
        <w:tc>
          <w:tcPr>
            <w:tcW w:w="425" w:type="pct"/>
            <w:vAlign w:val="center"/>
          </w:tcPr>
          <w:p w14:paraId="17E1E157">
            <w:pPr>
              <w:pStyle w:val="24"/>
              <w:ind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041" w:type="pct"/>
            <w:vAlign w:val="center"/>
          </w:tcPr>
          <w:p w14:paraId="3A6D2379">
            <w:pPr>
              <w:pStyle w:val="24"/>
              <w:spacing w:before="60" w:after="60"/>
              <w:ind w:firstLine="0" w:firstLineChars="0"/>
              <w:jc w:val="both"/>
              <w:rPr>
                <w:rFonts w:hint="eastAsia" w:ascii="Times New Roman" w:eastAsia="宋体" w:cs="Times New Roman"/>
                <w:i w:val="0"/>
                <w:iCs w:val="0"/>
                <w:color w:val="auto"/>
                <w:highlight w:val="none"/>
                <w:lang w:eastAsia="zh-CN"/>
              </w:rPr>
            </w:pPr>
            <w:r>
              <w:rPr>
                <w:rFonts w:hint="eastAsia" w:ascii="Times New Roman" w:cs="Times New Roman"/>
                <w:i w:val="0"/>
                <w:iCs w:val="0"/>
                <w:color w:val="auto"/>
                <w:highlight w:val="none"/>
                <w:lang w:val="en-US" w:eastAsia="zh-CN"/>
              </w:rPr>
              <w:t>基准线情景碳排放量，单位为千克二氧化碳</w:t>
            </w:r>
            <w:r>
              <w:rPr>
                <w:rFonts w:hint="eastAsia" w:ascii="Times New Roman" w:cs="Times New Roman"/>
                <w:i w:val="0"/>
                <w:iCs w:val="0"/>
                <w:color w:val="auto"/>
                <w:highlight w:val="none"/>
              </w:rPr>
              <w:t>（kgCO</w:t>
            </w:r>
            <w:r>
              <w:rPr>
                <w:rFonts w:ascii="Times New Roman" w:cs="Times New Roman"/>
                <w:i w:val="0"/>
                <w:iCs w:val="0"/>
                <w:color w:val="auto"/>
                <w:highlight w:val="none"/>
                <w:vertAlign w:val="subscript"/>
              </w:rPr>
              <w:t>2</w:t>
            </w:r>
            <w:r>
              <w:rPr>
                <w:rFonts w:hint="eastAsia" w:ascii="Times New Roman" w:cs="Times New Roman"/>
                <w:i w:val="0"/>
                <w:iCs w:val="0"/>
                <w:color w:val="auto"/>
                <w:highlight w:val="none"/>
              </w:rPr>
              <w:t>）</w:t>
            </w:r>
            <w:r>
              <w:rPr>
                <w:rFonts w:hint="eastAsia" w:ascii="Times New Roman" w:cs="Times New Roman"/>
                <w:i w:val="0"/>
                <w:iCs w:val="0"/>
                <w:color w:val="auto"/>
                <w:highlight w:val="none"/>
                <w:lang w:eastAsia="zh-CN"/>
              </w:rPr>
              <w:t>；</w:t>
            </w:r>
          </w:p>
        </w:tc>
      </w:tr>
      <w:tr w14:paraId="4A6324A0">
        <w:tblPrEx>
          <w:tblCellMar>
            <w:top w:w="0" w:type="dxa"/>
            <w:left w:w="108" w:type="dxa"/>
            <w:bottom w:w="0" w:type="dxa"/>
            <w:right w:w="108" w:type="dxa"/>
          </w:tblCellMar>
        </w:tblPrEx>
        <w:trPr>
          <w:trHeight w:val="397" w:hRule="atLeast"/>
        </w:trPr>
        <w:tc>
          <w:tcPr>
            <w:tcW w:w="533" w:type="pct"/>
            <w:vAlign w:val="center"/>
          </w:tcPr>
          <w:p w14:paraId="177897D7">
            <w:pPr>
              <w:pStyle w:val="24"/>
              <w:spacing w:before="60" w:after="60"/>
              <w:ind w:firstLine="420"/>
              <w:jc w:val="left"/>
              <w:rPr>
                <w:rFonts w:hint="eastAsia" w:ascii="Times New Roman" w:eastAsia="宋体" w:cs="Times New Roman"/>
                <w:i/>
                <w:iCs/>
                <w:color w:val="auto"/>
                <w:highlight w:val="none"/>
                <w:lang w:eastAsia="zh-CN"/>
              </w:rPr>
            </w:pPr>
            <m:oMathPara>
              <m:oMathParaPr>
                <m:jc m:val="left"/>
              </m:oMathParaPr>
              <m:oMath>
                <m:r>
                  <m:rPr/>
                  <w:rPr>
                    <w:rFonts w:hint="default" w:ascii="Cambria Math" w:hAnsi="Cambria Math" w:cs="Times New Roman"/>
                    <w:color w:val="auto"/>
                    <w:kern w:val="0"/>
                    <w:highlight w:val="none"/>
                    <w:lang w:val="en-US" w:eastAsia="zh-CN"/>
                  </w:rPr>
                  <m:t>i</m:t>
                </m:r>
              </m:oMath>
            </m:oMathPara>
          </w:p>
        </w:tc>
        <w:tc>
          <w:tcPr>
            <w:tcW w:w="425" w:type="pct"/>
            <w:vAlign w:val="center"/>
          </w:tcPr>
          <w:p w14:paraId="22AA46B5">
            <w:pPr>
              <w:spacing w:before="60" w:after="60"/>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041" w:type="pct"/>
            <w:vAlign w:val="center"/>
          </w:tcPr>
          <w:p w14:paraId="740498E3">
            <w:pPr>
              <w:pStyle w:val="24"/>
              <w:tabs>
                <w:tab w:val="left" w:pos="2520"/>
              </w:tabs>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废弃产品品类，包括纸类、塑料、玻璃、金属类、织物、电器六大类；</w:t>
            </w:r>
          </w:p>
        </w:tc>
      </w:tr>
      <w:tr w14:paraId="2E33DAD2">
        <w:tblPrEx>
          <w:tblCellMar>
            <w:top w:w="0" w:type="dxa"/>
            <w:left w:w="108" w:type="dxa"/>
            <w:bottom w:w="0" w:type="dxa"/>
            <w:right w:w="108" w:type="dxa"/>
          </w:tblCellMar>
        </w:tblPrEx>
        <w:trPr>
          <w:trHeight w:val="397" w:hRule="atLeast"/>
        </w:trPr>
        <w:tc>
          <w:tcPr>
            <w:tcW w:w="533" w:type="pct"/>
            <w:vAlign w:val="center"/>
          </w:tcPr>
          <w:p w14:paraId="3C3B4A46">
            <w:pPr>
              <w:pStyle w:val="24"/>
              <w:ind w:firstLine="420"/>
              <w:jc w:val="left"/>
              <w:rPr>
                <w:rFonts w:ascii="Times New Roman" w:cs="Times New Roman"/>
                <w:i/>
                <w:iCs/>
                <w:color w:val="auto"/>
                <w:highlight w:val="none"/>
                <w:lang w:eastAsia="zh-Hans"/>
              </w:rPr>
            </w:pPr>
            <m:oMathPara>
              <m:oMathParaPr>
                <m:jc m:val="left"/>
              </m:oMathParaPr>
              <m:oMath>
                <m:sSub>
                  <m:sSubPr>
                    <m:ctrlPr>
                      <w:rPr>
                        <w:rFonts w:hint="default" w:ascii="Cambria Math" w:hAnsi="Cambria Math" w:cs="Times New Roman"/>
                        <w:b w:val="0"/>
                        <w:i/>
                        <w:iCs/>
                        <w:color w:val="auto"/>
                        <w:kern w:val="0"/>
                        <w:highlight w:val="none"/>
                        <w:lang w:val="en-US" w:eastAsia="zh-CN"/>
                      </w:rPr>
                    </m:ctrlPr>
                  </m:sSubPr>
                  <m:e>
                    <m:r>
                      <m:rPr/>
                      <w:rPr>
                        <w:rFonts w:hint="default" w:ascii="Cambria Math" w:hAnsi="Cambria Math" w:cs="Times New Roman"/>
                        <w:color w:val="auto"/>
                        <w:kern w:val="0"/>
                        <w:highlight w:val="none"/>
                        <w:lang w:val="en-US" w:eastAsia="zh-CN"/>
                      </w:rPr>
                      <m:t>W</m:t>
                    </m:r>
                    <m:ctrlPr>
                      <w:rPr>
                        <w:rFonts w:hint="default" w:ascii="Cambria Math" w:hAnsi="Cambria Math" w:cs="Times New Roman"/>
                        <w:b w:val="0"/>
                        <w:i/>
                        <w:iCs/>
                        <w:color w:val="auto"/>
                        <w:kern w:val="0"/>
                        <w:highlight w:val="none"/>
                        <w:lang w:val="en-US" w:eastAsia="zh-CN"/>
                      </w:rPr>
                    </m:ctrlPr>
                  </m:e>
                  <m:sub>
                    <m:r>
                      <m:rPr/>
                      <w:rPr>
                        <w:rFonts w:hint="default" w:ascii="Cambria Math" w:hAnsi="Cambria Math" w:cs="Times New Roman"/>
                        <w:color w:val="auto"/>
                        <w:kern w:val="0"/>
                        <w:highlight w:val="none"/>
                        <w:lang w:val="en-US" w:eastAsia="zh-CN"/>
                      </w:rPr>
                      <m:t>i</m:t>
                    </m:r>
                    <m:ctrlPr>
                      <w:rPr>
                        <w:rFonts w:hint="default" w:ascii="Cambria Math" w:hAnsi="Cambria Math" w:cs="Times New Roman"/>
                        <w:b w:val="0"/>
                        <w:i/>
                        <w:iCs/>
                        <w:color w:val="auto"/>
                        <w:kern w:val="0"/>
                        <w:highlight w:val="none"/>
                        <w:lang w:val="en-US" w:eastAsia="zh-CN"/>
                      </w:rPr>
                    </m:ctrlPr>
                  </m:sub>
                </m:sSub>
              </m:oMath>
            </m:oMathPara>
          </w:p>
        </w:tc>
        <w:tc>
          <w:tcPr>
            <w:tcW w:w="425" w:type="pct"/>
            <w:vAlign w:val="center"/>
          </w:tcPr>
          <w:p w14:paraId="0BA90E21">
            <w:pPr>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041" w:type="pct"/>
            <w:vAlign w:val="center"/>
          </w:tcPr>
          <w:p w14:paraId="6F89D963">
            <w:pPr>
              <w:pStyle w:val="24"/>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废弃产品i的重量，单位为千克（kg）；</w:t>
            </w:r>
          </w:p>
        </w:tc>
      </w:tr>
      <w:tr w14:paraId="28641D37">
        <w:tblPrEx>
          <w:tblCellMar>
            <w:top w:w="0" w:type="dxa"/>
            <w:left w:w="108" w:type="dxa"/>
            <w:bottom w:w="0" w:type="dxa"/>
            <w:right w:w="108" w:type="dxa"/>
          </w:tblCellMar>
        </w:tblPrEx>
        <w:trPr>
          <w:trHeight w:val="397" w:hRule="atLeast"/>
        </w:trPr>
        <w:tc>
          <w:tcPr>
            <w:tcW w:w="533" w:type="pct"/>
            <w:vAlign w:val="top"/>
          </w:tcPr>
          <w:p w14:paraId="504F9887">
            <w:pPr>
              <w:pStyle w:val="24"/>
              <w:ind w:firstLine="420"/>
              <w:jc w:val="left"/>
              <w:rPr>
                <w:rFonts w:ascii="Times New Roman" w:cs="Times New Roman"/>
                <w:i/>
                <w:iCs/>
                <w:color w:val="auto"/>
                <w:highlight w:val="none"/>
              </w:rPr>
            </w:pPr>
            <m:oMathPara>
              <m:oMathParaPr>
                <m:jc m:val="left"/>
              </m:oMathParaPr>
              <m:oMath>
                <m:sSub>
                  <m:sSubPr>
                    <m:ctrlPr>
                      <w:rPr>
                        <w:rFonts w:ascii="Cambria Math" w:hAnsi="Cambria Math" w:cs="Times New Roman"/>
                        <w:i/>
                        <w:iCs/>
                        <w:color w:val="auto"/>
                        <w:kern w:val="0"/>
                        <w:highlight w:val="none"/>
                        <w:lang w:val="en-US"/>
                      </w:rPr>
                    </m:ctrlPr>
                  </m:sSubPr>
                  <m:e>
                    <m:r>
                      <m:rPr/>
                      <w:rPr>
                        <w:rFonts w:hint="default" w:ascii="Cambria Math" w:hAnsi="Cambria Math" w:cs="Times New Roman"/>
                        <w:color w:val="auto"/>
                        <w:kern w:val="0"/>
                        <w:highlight w:val="none"/>
                        <w:lang w:val="en-US" w:eastAsia="zh-CN"/>
                      </w:rPr>
                      <m:t>EF</m:t>
                    </m:r>
                    <m:ctrlPr>
                      <w:rPr>
                        <w:rFonts w:ascii="Cambria Math" w:hAnsi="Cambria Math" w:cs="Times New Roman"/>
                        <w:i/>
                        <w:iCs/>
                        <w:color w:val="auto"/>
                        <w:kern w:val="0"/>
                        <w:highlight w:val="none"/>
                        <w:lang w:val="en-US"/>
                      </w:rPr>
                    </m:ctrlPr>
                  </m:e>
                  <m:sub>
                    <m:r>
                      <m:rPr/>
                      <w:rPr>
                        <w:rFonts w:hint="default" w:ascii="Cambria Math" w:hAnsi="Cambria Math" w:cs="Times New Roman"/>
                        <w:color w:val="auto"/>
                        <w:kern w:val="0"/>
                        <w:highlight w:val="none"/>
                        <w:lang w:val="en-US" w:eastAsia="zh-CN"/>
                      </w:rPr>
                      <m:t>基准i</m:t>
                    </m:r>
                    <m:ctrlPr>
                      <w:rPr>
                        <w:rFonts w:ascii="Cambria Math" w:hAnsi="Cambria Math" w:cs="Times New Roman"/>
                        <w:i/>
                        <w:iCs/>
                        <w:color w:val="auto"/>
                        <w:kern w:val="0"/>
                        <w:highlight w:val="none"/>
                        <w:lang w:val="en-US"/>
                      </w:rPr>
                    </m:ctrlPr>
                  </m:sub>
                </m:sSub>
              </m:oMath>
            </m:oMathPara>
          </w:p>
        </w:tc>
        <w:tc>
          <w:tcPr>
            <w:tcW w:w="425" w:type="pct"/>
            <w:vAlign w:val="top"/>
          </w:tcPr>
          <w:p w14:paraId="7CFC12A3">
            <w:pPr>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041" w:type="pct"/>
            <w:vAlign w:val="center"/>
          </w:tcPr>
          <w:p w14:paraId="7AC7704F">
            <w:pPr>
              <w:pStyle w:val="24"/>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基准线情境下废弃产品i的碳排放因子，单位为千克二氧化碳每千克（</w:t>
            </w:r>
            <w:r>
              <w:rPr>
                <w:rFonts w:hint="eastAsia" w:ascii="Times New Roman" w:cs="Times New Roman"/>
                <w:i w:val="0"/>
                <w:iCs w:val="0"/>
                <w:color w:val="auto"/>
                <w:highlight w:val="none"/>
              </w:rPr>
              <w:t>kgCO</w:t>
            </w:r>
            <w:r>
              <w:rPr>
                <w:rFonts w:ascii="Times New Roman" w:cs="Times New Roman"/>
                <w:i w:val="0"/>
                <w:iCs w:val="0"/>
                <w:color w:val="auto"/>
                <w:highlight w:val="none"/>
                <w:vertAlign w:val="subscript"/>
              </w:rPr>
              <w:t>2</w:t>
            </w:r>
            <w:r>
              <w:rPr>
                <w:rFonts w:hint="eastAsia" w:ascii="Times New Roman" w:cs="Times New Roman"/>
                <w:i w:val="0"/>
                <w:iCs w:val="0"/>
                <w:color w:val="auto"/>
                <w:highlight w:val="none"/>
                <w:vertAlign w:val="baseline"/>
                <w:lang w:val="en-US" w:eastAsia="zh-CN"/>
              </w:rPr>
              <w:t>/kg</w:t>
            </w:r>
            <w:r>
              <w:rPr>
                <w:rFonts w:hint="eastAsia" w:ascii="Times New Roman" w:cs="Times New Roman"/>
                <w:i w:val="0"/>
                <w:iCs w:val="0"/>
                <w:color w:val="auto"/>
                <w:highlight w:val="none"/>
                <w:lang w:val="en-US" w:eastAsia="zh-CN"/>
              </w:rPr>
              <w:t>）。</w:t>
            </w:r>
          </w:p>
        </w:tc>
      </w:tr>
      <w:bookmarkEnd w:id="59"/>
    </w:tbl>
    <w:p w14:paraId="5809233D">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60" w:name="_Toc21609"/>
      <w:bookmarkStart w:id="61" w:name="_Toc28042"/>
      <w:bookmarkStart w:id="62" w:name="_Toc8176"/>
      <w:bookmarkStart w:id="63" w:name="_Toc7"/>
      <w:bookmarkStart w:id="64" w:name="_Toc175936568"/>
      <w:bookmarkStart w:id="65" w:name="_Toc164770404"/>
      <w:r>
        <w:rPr>
          <w:rFonts w:hint="eastAsia"/>
          <w:bCs w:val="0"/>
          <w:iCs/>
          <w:color w:val="000000" w:themeColor="text1"/>
          <w:highlight w:val="none"/>
          <w:lang w:val="en-US" w:eastAsia="zh"/>
          <w14:textFill>
            <w14:solidFill>
              <w14:schemeClr w14:val="tx1"/>
            </w14:solidFill>
          </w14:textFill>
        </w:rPr>
        <w:t>6.4 碳普惠情景排放</w:t>
      </w:r>
      <w:r>
        <w:rPr>
          <w:rFonts w:hint="eastAsia"/>
          <w:bCs w:val="0"/>
          <w:iCs/>
          <w:color w:val="000000" w:themeColor="text1"/>
          <w:highlight w:val="none"/>
          <w:lang w:val="en-US" w:eastAsia="zh-CN"/>
          <w14:textFill>
            <w14:solidFill>
              <w14:schemeClr w14:val="tx1"/>
            </w14:solidFill>
          </w14:textFill>
        </w:rPr>
        <w:t>量</w:t>
      </w:r>
      <w:r>
        <w:rPr>
          <w:rFonts w:hint="eastAsia"/>
          <w:bCs w:val="0"/>
          <w:iCs/>
          <w:color w:val="000000" w:themeColor="text1"/>
          <w:highlight w:val="none"/>
          <w:lang w:val="en-US" w:eastAsia="zh"/>
          <w14:textFill>
            <w14:solidFill>
              <w14:schemeClr w14:val="tx1"/>
            </w14:solidFill>
          </w14:textFill>
        </w:rPr>
        <w:t>计算</w:t>
      </w:r>
      <w:bookmarkEnd w:id="60"/>
      <w:bookmarkEnd w:id="61"/>
      <w:bookmarkEnd w:id="62"/>
      <w:bookmarkEnd w:id="63"/>
      <w:bookmarkEnd w:id="64"/>
      <w:bookmarkEnd w:id="65"/>
    </w:p>
    <w:p w14:paraId="594FD96A">
      <w:pPr>
        <w:ind w:firstLine="420"/>
        <w:rPr>
          <w:rFonts w:hint="eastAsia" w:cs="Times New Roman"/>
          <w:color w:val="auto"/>
          <w:kern w:val="0"/>
          <w:highlight w:val="none"/>
          <w:lang w:val="en-US" w:eastAsia="zh-CN"/>
        </w:rPr>
      </w:pPr>
      <w:r>
        <w:rPr>
          <w:rFonts w:hint="eastAsia" w:cs="Times New Roman"/>
          <w:color w:val="auto"/>
          <w:kern w:val="0"/>
          <w:highlight w:val="none"/>
          <w:lang w:val="en-US" w:eastAsia="zh-CN"/>
        </w:rPr>
        <w:t>碳普惠情景碳排放量按公式（2）计算：</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14:paraId="1587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14:paraId="1372FEA7">
            <w:pPr>
              <w:spacing w:line="0" w:lineRule="atLeast"/>
              <w:ind w:firstLine="420"/>
              <w:jc w:val="center"/>
              <w:rPr>
                <w:rFonts w:cs="Times New Roman"/>
                <w:i/>
                <w:iCs/>
                <w:color w:val="auto"/>
                <w:kern w:val="0"/>
                <w:highlight w:val="none"/>
              </w:rPr>
            </w:pPr>
            <m:oMathPara>
              <m:oMath>
                <m:r>
                  <m:rPr/>
                  <w:rPr>
                    <w:rFonts w:hint="default" w:ascii="Cambria Math" w:hAnsi="Cambria Math" w:cs="Times New Roman"/>
                    <w:color w:val="auto"/>
                    <w:kern w:val="0"/>
                    <w:highlight w:val="none"/>
                    <w:lang w:val="en-US" w:eastAsia="zh-CN"/>
                  </w:rPr>
                  <m:t>P</m:t>
                </m:r>
                <m:r>
                  <m:rPr/>
                  <w:rPr>
                    <w:rFonts w:ascii="Cambria Math" w:hAnsi="Cambria Math" w:cs="Times New Roman"/>
                    <w:color w:val="auto"/>
                    <w:kern w:val="0"/>
                    <w:highlight w:val="none"/>
                  </w:rPr>
                  <m:t>E</m:t>
                </m:r>
                <m:r>
                  <m:rPr>
                    <m:sty m:val="p"/>
                  </m:rPr>
                  <w:rPr>
                    <w:rFonts w:ascii="Cambria Math" w:hAnsi="Cambria Math" w:cs="Times New Roman"/>
                    <w:color w:val="auto"/>
                    <w:kern w:val="0"/>
                    <w:highlight w:val="none"/>
                  </w:rPr>
                  <m:t>=</m:t>
                </m:r>
                <m:nary>
                  <m:naryPr>
                    <m:chr m:val="∑"/>
                    <m:limLoc m:val="subSup"/>
                    <m:ctrlPr>
                      <w:rPr>
                        <w:rFonts w:ascii="Cambria Math" w:hAnsi="Cambria Math" w:cs="Times New Roman"/>
                        <w:b w:val="0"/>
                        <w:i/>
                        <w:iCs/>
                        <w:color w:val="auto"/>
                        <w:kern w:val="0"/>
                        <w:highlight w:val="none"/>
                      </w:rPr>
                    </m:ctrlPr>
                  </m:naryPr>
                  <m:sub>
                    <m:r>
                      <m:rPr/>
                      <w:rPr>
                        <w:rFonts w:hint="default" w:ascii="Cambria Math" w:hAnsi="Cambria Math" w:cs="Times New Roman"/>
                        <w:color w:val="auto"/>
                        <w:kern w:val="0"/>
                        <w:highlight w:val="none"/>
                        <w:lang w:val="en-US" w:eastAsia="zh-CN"/>
                      </w:rPr>
                      <m:t>i</m:t>
                    </m:r>
                    <m:ctrlPr>
                      <w:rPr>
                        <w:rFonts w:ascii="Cambria Math" w:hAnsi="Cambria Math" w:cs="Times New Roman"/>
                        <w:b w:val="0"/>
                        <w:i/>
                        <w:iCs/>
                        <w:color w:val="auto"/>
                        <w:kern w:val="0"/>
                        <w:highlight w:val="none"/>
                      </w:rPr>
                    </m:ctrlPr>
                  </m:sub>
                  <m:sup>
                    <m:r>
                      <m:rPr/>
                      <w:rPr>
                        <w:rFonts w:hint="default" w:ascii="Cambria Math" w:hAnsi="Cambria Math" w:cs="Times New Roman"/>
                        <w:color w:val="auto"/>
                        <w:kern w:val="0"/>
                        <w:highlight w:val="none"/>
                        <w:lang w:val="en-US" w:eastAsia="zh-CN"/>
                      </w:rPr>
                      <m:t>n</m:t>
                    </m:r>
                    <m:ctrlPr>
                      <w:rPr>
                        <w:rFonts w:ascii="Cambria Math" w:hAnsi="Cambria Math" w:cs="Times New Roman"/>
                        <w:b w:val="0"/>
                        <w:i/>
                        <w:iCs/>
                        <w:color w:val="auto"/>
                        <w:kern w:val="0"/>
                        <w:highlight w:val="none"/>
                      </w:rPr>
                    </m:ctrlPr>
                  </m:sup>
                  <m:e>
                    <m:r>
                      <m:rPr>
                        <m:sty m:val="p"/>
                      </m:rPr>
                      <w:rPr>
                        <w:rFonts w:hint="eastAsia" w:ascii="Cambria Math" w:hAnsi="Cambria Math" w:cs="Times New Roman"/>
                        <w:color w:val="auto"/>
                        <w:kern w:val="0"/>
                        <w:highlight w:val="none"/>
                        <w:lang w:val="en-US" w:eastAsia="zh-CN"/>
                      </w:rPr>
                      <m:t>（</m:t>
                    </m:r>
                    <m:sSub>
                      <m:sSubPr>
                        <m:ctrlPr>
                          <w:rPr>
                            <w:rFonts w:hint="default" w:ascii="Cambria Math" w:hAnsi="Cambria Math" w:cs="Times New Roman"/>
                            <w:b w:val="0"/>
                            <w:i/>
                            <w:iCs/>
                            <w:color w:val="auto"/>
                            <w:kern w:val="0"/>
                            <w:highlight w:val="none"/>
                            <w:lang w:val="en-US" w:eastAsia="zh-CN"/>
                          </w:rPr>
                        </m:ctrlPr>
                      </m:sSubPr>
                      <m:e>
                        <m:r>
                          <m:rPr/>
                          <w:rPr>
                            <w:rFonts w:hint="default" w:ascii="Cambria Math" w:hAnsi="Cambria Math" w:cs="Times New Roman"/>
                            <w:color w:val="auto"/>
                            <w:kern w:val="0"/>
                            <w:highlight w:val="none"/>
                            <w:lang w:val="en-US" w:eastAsia="zh-CN"/>
                          </w:rPr>
                          <m:t>W</m:t>
                        </m:r>
                        <m:ctrlPr>
                          <w:rPr>
                            <w:rFonts w:hint="default" w:ascii="Cambria Math" w:hAnsi="Cambria Math" w:cs="Times New Roman"/>
                            <w:b w:val="0"/>
                            <w:i/>
                            <w:iCs/>
                            <w:color w:val="auto"/>
                            <w:kern w:val="0"/>
                            <w:highlight w:val="none"/>
                            <w:lang w:val="en-US" w:eastAsia="zh-CN"/>
                          </w:rPr>
                        </m:ctrlPr>
                      </m:e>
                      <m:sub>
                        <m:r>
                          <m:rPr/>
                          <w:rPr>
                            <w:rFonts w:hint="default" w:ascii="Cambria Math" w:hAnsi="Cambria Math" w:cs="Times New Roman"/>
                            <w:color w:val="auto"/>
                            <w:kern w:val="0"/>
                            <w:highlight w:val="none"/>
                            <w:lang w:val="en-US" w:eastAsia="zh-CN"/>
                          </w:rPr>
                          <m:t>i</m:t>
                        </m:r>
                        <m:ctrlPr>
                          <w:rPr>
                            <w:rFonts w:hint="default" w:ascii="Cambria Math" w:hAnsi="Cambria Math" w:cs="Times New Roman"/>
                            <w:b w:val="0"/>
                            <w:i/>
                            <w:iCs/>
                            <w:color w:val="auto"/>
                            <w:kern w:val="0"/>
                            <w:highlight w:val="none"/>
                            <w:lang w:val="en-US" w:eastAsia="zh-CN"/>
                          </w:rPr>
                        </m:ctrlPr>
                      </m:sub>
                    </m:sSub>
                    <m:r>
                      <m:rPr/>
                      <w:rPr>
                        <w:rFonts w:ascii="Cambria Math" w:hAnsi="Cambria Math" w:cs="Times New Roman"/>
                        <w:color w:val="auto"/>
                        <w:kern w:val="0"/>
                        <w:highlight w:val="none"/>
                        <w:lang w:val="en-US"/>
                      </w:rPr>
                      <m:t>×</m:t>
                    </m:r>
                    <m:sSub>
                      <m:sSubPr>
                        <m:ctrlPr>
                          <w:rPr>
                            <w:rFonts w:ascii="Cambria Math" w:hAnsi="Cambria Math" w:cs="Times New Roman"/>
                            <w:i/>
                            <w:iCs/>
                            <w:color w:val="auto"/>
                            <w:kern w:val="0"/>
                            <w:highlight w:val="none"/>
                            <w:lang w:val="en-US"/>
                          </w:rPr>
                        </m:ctrlPr>
                      </m:sSubPr>
                      <m:e>
                        <m:r>
                          <m:rPr/>
                          <w:rPr>
                            <w:rFonts w:hint="default" w:ascii="Cambria Math" w:hAnsi="Cambria Math" w:cs="Times New Roman"/>
                            <w:color w:val="auto"/>
                            <w:kern w:val="0"/>
                            <w:highlight w:val="none"/>
                            <w:lang w:val="en-US" w:eastAsia="zh-CN"/>
                          </w:rPr>
                          <m:t>EF</m:t>
                        </m:r>
                        <m:ctrlPr>
                          <w:rPr>
                            <w:rFonts w:ascii="Cambria Math" w:hAnsi="Cambria Math" w:cs="Times New Roman"/>
                            <w:i/>
                            <w:iCs/>
                            <w:color w:val="auto"/>
                            <w:kern w:val="0"/>
                            <w:highlight w:val="none"/>
                            <w:lang w:val="en-US"/>
                          </w:rPr>
                        </m:ctrlPr>
                      </m:e>
                      <m:sub>
                        <m:r>
                          <m:rPr/>
                          <w:rPr>
                            <w:rFonts w:hint="eastAsia" w:ascii="Cambria Math" w:hAnsi="Cambria Math" w:cs="Times New Roman"/>
                            <w:color w:val="auto"/>
                            <w:kern w:val="0"/>
                            <w:highlight w:val="none"/>
                            <w:lang w:val="en-US" w:eastAsia="zh-CN"/>
                          </w:rPr>
                          <m:t>普惠</m:t>
                        </m:r>
                        <m:r>
                          <m:rPr/>
                          <w:rPr>
                            <w:rFonts w:hint="default" w:ascii="Cambria Math" w:hAnsi="Cambria Math" w:cs="Times New Roman"/>
                            <w:color w:val="auto"/>
                            <w:kern w:val="0"/>
                            <w:highlight w:val="none"/>
                            <w:lang w:val="en-US" w:eastAsia="zh-CN"/>
                          </w:rPr>
                          <m:t>i</m:t>
                        </m:r>
                        <m:ctrlPr>
                          <w:rPr>
                            <w:rFonts w:ascii="Cambria Math" w:hAnsi="Cambria Math" w:cs="Times New Roman"/>
                            <w:i/>
                            <w:iCs/>
                            <w:color w:val="auto"/>
                            <w:kern w:val="0"/>
                            <w:highlight w:val="none"/>
                            <w:lang w:val="en-US"/>
                          </w:rPr>
                        </m:ctrlPr>
                      </m:sub>
                    </m:sSub>
                    <m:ctrlPr>
                      <w:rPr>
                        <w:rFonts w:ascii="Cambria Math" w:hAnsi="Cambria Math" w:cs="Times New Roman"/>
                        <w:b w:val="0"/>
                        <w:i/>
                        <w:iCs/>
                        <w:color w:val="auto"/>
                        <w:kern w:val="0"/>
                        <w:highlight w:val="none"/>
                      </w:rPr>
                    </m:ctrlPr>
                  </m:e>
                </m:nary>
                <m:r>
                  <m:rPr>
                    <m:sty m:val="p"/>
                  </m:rPr>
                  <w:rPr>
                    <w:rFonts w:hint="eastAsia" w:hAnsi="Cambria Math" w:cs="Times New Roman"/>
                    <w:color w:val="auto"/>
                    <w:kern w:val="0"/>
                    <w:highlight w:val="none"/>
                    <w:lang w:eastAsia="zh-CN"/>
                  </w:rPr>
                  <m:t>）</m:t>
                </m:r>
              </m:oMath>
            </m:oMathPara>
          </w:p>
        </w:tc>
        <w:tc>
          <w:tcPr>
            <w:tcW w:w="764" w:type="pct"/>
            <w:vAlign w:val="center"/>
          </w:tcPr>
          <w:p w14:paraId="28273E60">
            <w:pPr>
              <w:spacing w:line="0" w:lineRule="atLeast"/>
              <w:ind w:firstLine="420"/>
              <w:jc w:val="right"/>
              <w:rPr>
                <w:rFonts w:hint="eastAsia" w:eastAsia="宋体" w:cs="Times New Roman"/>
                <w:color w:val="auto"/>
                <w:kern w:val="0"/>
                <w:szCs w:val="28"/>
                <w:highlight w:val="none"/>
                <w:lang w:eastAsia="zh-CN"/>
              </w:rPr>
            </w:pPr>
            <w:r>
              <w:rPr>
                <w:rFonts w:hint="eastAsia" w:cs="Times New Roman"/>
                <w:color w:val="auto"/>
                <w:kern w:val="0"/>
                <w:szCs w:val="28"/>
                <w:highlight w:val="none"/>
                <w:lang w:eastAsia="zh-CN"/>
              </w:rPr>
              <w:t>（</w:t>
            </w:r>
            <w:r>
              <w:rPr>
                <w:rFonts w:hint="eastAsia" w:cs="Times New Roman"/>
                <w:color w:val="auto"/>
                <w:kern w:val="0"/>
                <w:szCs w:val="28"/>
                <w:highlight w:val="none"/>
                <w:lang w:val="en-US" w:eastAsia="zh-CN"/>
              </w:rPr>
              <w:t>2</w:t>
            </w:r>
            <w:r>
              <w:rPr>
                <w:rFonts w:hint="eastAsia" w:cs="Times New Roman"/>
                <w:color w:val="auto"/>
                <w:kern w:val="0"/>
                <w:szCs w:val="28"/>
                <w:highlight w:val="none"/>
                <w:lang w:eastAsia="zh-CN"/>
              </w:rPr>
              <w:t>）</w:t>
            </w:r>
          </w:p>
        </w:tc>
      </w:tr>
    </w:tbl>
    <w:p w14:paraId="64810AF6">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cs="Times New Roman"/>
          <w:color w:val="auto"/>
          <w:szCs w:val="21"/>
          <w:highlight w:val="none"/>
        </w:rPr>
      </w:pPr>
      <w:r>
        <w:rPr>
          <w:rFonts w:hint="eastAsia" w:cs="Times New Roman"/>
          <w:color w:val="auto"/>
          <w:highlight w:val="none"/>
          <w:lang w:val="en-US" w:eastAsia="zh-CN"/>
        </w:rPr>
        <w:t>式中</w:t>
      </w:r>
      <w:r>
        <w:rPr>
          <w:rFonts w:hint="eastAsia" w:cs="Times New Roman"/>
          <w:color w:val="auto"/>
          <w:highlight w:val="none"/>
        </w:rPr>
        <w:t>：</w:t>
      </w:r>
    </w:p>
    <w:tbl>
      <w:tblPr>
        <w:tblStyle w:val="32"/>
        <w:tblW w:w="4731" w:type="pct"/>
        <w:tblInd w:w="455" w:type="dxa"/>
        <w:tblLayout w:type="fixed"/>
        <w:tblCellMar>
          <w:top w:w="0" w:type="dxa"/>
          <w:left w:w="108" w:type="dxa"/>
          <w:bottom w:w="0" w:type="dxa"/>
          <w:right w:w="108" w:type="dxa"/>
        </w:tblCellMar>
      </w:tblPr>
      <w:tblGrid>
        <w:gridCol w:w="800"/>
        <w:gridCol w:w="638"/>
        <w:gridCol w:w="6626"/>
      </w:tblGrid>
      <w:tr w14:paraId="09A36BC0">
        <w:tblPrEx>
          <w:tblCellMar>
            <w:top w:w="0" w:type="dxa"/>
            <w:left w:w="108" w:type="dxa"/>
            <w:bottom w:w="0" w:type="dxa"/>
            <w:right w:w="108" w:type="dxa"/>
          </w:tblCellMar>
        </w:tblPrEx>
        <w:trPr>
          <w:trHeight w:val="397" w:hRule="atLeast"/>
        </w:trPr>
        <w:tc>
          <w:tcPr>
            <w:tcW w:w="496" w:type="pct"/>
            <w:vAlign w:val="center"/>
          </w:tcPr>
          <w:p w14:paraId="1740D751">
            <w:pPr>
              <w:pStyle w:val="24"/>
              <w:spacing w:before="60" w:after="60"/>
              <w:ind w:left="0" w:leftChars="0" w:firstLine="0" w:firstLineChars="0"/>
              <w:jc w:val="left"/>
              <w:rPr>
                <w:rFonts w:hint="eastAsia" w:ascii="Times New Roman" w:eastAsia="宋体" w:cs="Times New Roman"/>
                <w:i/>
                <w:iCs/>
                <w:color w:val="auto"/>
                <w:highlight w:val="none"/>
                <w:lang w:val="en-US" w:eastAsia="zh-CN"/>
              </w:rPr>
            </w:pPr>
            <w:r>
              <w:rPr>
                <w:rFonts w:hint="eastAsia" w:ascii="Cambria Math" w:hAnsi="Cambria Math" w:cs="Times New Roman"/>
                <w:i/>
                <w:iCs/>
                <w:color w:val="auto"/>
                <w:kern w:val="0"/>
                <w:highlight w:val="none"/>
                <w:lang w:val="en-US" w:eastAsia="zh-CN"/>
              </w:rPr>
              <w:t>PE</w:t>
            </w:r>
          </w:p>
        </w:tc>
        <w:tc>
          <w:tcPr>
            <w:tcW w:w="395" w:type="pct"/>
            <w:vAlign w:val="center"/>
          </w:tcPr>
          <w:p w14:paraId="7A76B534">
            <w:pPr>
              <w:pStyle w:val="24"/>
              <w:ind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108" w:type="pct"/>
            <w:vAlign w:val="center"/>
          </w:tcPr>
          <w:p w14:paraId="32DA9B95">
            <w:pPr>
              <w:pStyle w:val="24"/>
              <w:spacing w:before="60" w:after="60"/>
              <w:ind w:firstLine="0" w:firstLineChars="0"/>
              <w:jc w:val="both"/>
              <w:rPr>
                <w:rFonts w:hint="eastAsia" w:ascii="Times New Roman" w:eastAsia="宋体" w:cs="Times New Roman"/>
                <w:i w:val="0"/>
                <w:iCs w:val="0"/>
                <w:color w:val="auto"/>
                <w:highlight w:val="none"/>
                <w:lang w:eastAsia="zh-CN"/>
              </w:rPr>
            </w:pPr>
            <w:r>
              <w:rPr>
                <w:rFonts w:hint="eastAsia" w:ascii="Times New Roman" w:cs="Times New Roman"/>
                <w:i w:val="0"/>
                <w:iCs w:val="0"/>
                <w:color w:val="auto"/>
                <w:highlight w:val="none"/>
                <w:shd w:val="clear"/>
                <w:lang w:val="en-US" w:eastAsia="zh-CN"/>
              </w:rPr>
              <w:t>碳普惠情景碳排放量</w:t>
            </w:r>
            <w:r>
              <w:rPr>
                <w:rFonts w:hint="eastAsia" w:ascii="Times New Roman" w:cs="Times New Roman"/>
                <w:i w:val="0"/>
                <w:iCs w:val="0"/>
                <w:color w:val="auto"/>
                <w:highlight w:val="none"/>
                <w:lang w:val="en-US" w:eastAsia="zh-CN"/>
              </w:rPr>
              <w:t>，单位为千克二氧化碳</w:t>
            </w:r>
            <w:r>
              <w:rPr>
                <w:rFonts w:hint="eastAsia" w:ascii="Times New Roman" w:cs="Times New Roman"/>
                <w:i w:val="0"/>
                <w:iCs w:val="0"/>
                <w:color w:val="auto"/>
                <w:highlight w:val="none"/>
                <w:shd w:val="clear"/>
              </w:rPr>
              <w:t>（kgCO</w:t>
            </w:r>
            <w:r>
              <w:rPr>
                <w:rFonts w:ascii="Times New Roman" w:cs="Times New Roman"/>
                <w:i w:val="0"/>
                <w:iCs w:val="0"/>
                <w:color w:val="auto"/>
                <w:highlight w:val="none"/>
                <w:shd w:val="clear"/>
                <w:vertAlign w:val="subscript"/>
              </w:rPr>
              <w:t>2</w:t>
            </w:r>
            <w:r>
              <w:rPr>
                <w:rFonts w:hint="eastAsia" w:ascii="Times New Roman" w:cs="Times New Roman"/>
                <w:i w:val="0"/>
                <w:iCs w:val="0"/>
                <w:color w:val="auto"/>
                <w:highlight w:val="none"/>
                <w:shd w:val="clear"/>
              </w:rPr>
              <w:t>）</w:t>
            </w:r>
            <w:r>
              <w:rPr>
                <w:rFonts w:hint="eastAsia" w:ascii="Times New Roman" w:cs="Times New Roman"/>
                <w:i w:val="0"/>
                <w:iCs w:val="0"/>
                <w:color w:val="auto"/>
                <w:highlight w:val="none"/>
                <w:shd w:val="clear"/>
                <w:lang w:eastAsia="zh-CN"/>
              </w:rPr>
              <w:t>；</w:t>
            </w:r>
          </w:p>
        </w:tc>
      </w:tr>
      <w:tr w14:paraId="1599B076">
        <w:tblPrEx>
          <w:tblCellMar>
            <w:top w:w="0" w:type="dxa"/>
            <w:left w:w="108" w:type="dxa"/>
            <w:bottom w:w="0" w:type="dxa"/>
            <w:right w:w="108" w:type="dxa"/>
          </w:tblCellMar>
        </w:tblPrEx>
        <w:trPr>
          <w:trHeight w:val="397" w:hRule="atLeast"/>
        </w:trPr>
        <w:tc>
          <w:tcPr>
            <w:tcW w:w="496" w:type="pct"/>
            <w:vAlign w:val="center"/>
          </w:tcPr>
          <w:p w14:paraId="426A83A2">
            <w:pPr>
              <w:pStyle w:val="24"/>
              <w:spacing w:before="60" w:after="60"/>
              <w:ind w:firstLine="420"/>
              <w:jc w:val="center"/>
              <w:rPr>
                <w:rFonts w:hint="eastAsia" w:ascii="Times New Roman" w:eastAsia="宋体" w:cs="Times New Roman"/>
                <w:i/>
                <w:iCs/>
                <w:color w:val="auto"/>
                <w:highlight w:val="none"/>
                <w:lang w:eastAsia="zh-CN"/>
              </w:rPr>
            </w:pPr>
            <m:oMathPara>
              <m:oMathParaPr>
                <m:jc m:val="left"/>
              </m:oMathParaPr>
              <m:oMath>
                <m:r>
                  <m:rPr/>
                  <w:rPr>
                    <w:rFonts w:hint="default" w:ascii="Cambria Math" w:hAnsi="Cambria Math" w:cs="Times New Roman"/>
                    <w:color w:val="auto"/>
                    <w:kern w:val="0"/>
                    <w:highlight w:val="none"/>
                    <w:lang w:val="en-US" w:eastAsia="zh-CN"/>
                  </w:rPr>
                  <m:t>i</m:t>
                </m:r>
              </m:oMath>
            </m:oMathPara>
          </w:p>
        </w:tc>
        <w:tc>
          <w:tcPr>
            <w:tcW w:w="395" w:type="pct"/>
            <w:vAlign w:val="center"/>
          </w:tcPr>
          <w:p w14:paraId="7BE8B36C">
            <w:pPr>
              <w:spacing w:before="60" w:after="60"/>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108" w:type="pct"/>
            <w:vAlign w:val="center"/>
          </w:tcPr>
          <w:p w14:paraId="573F5744">
            <w:pPr>
              <w:pStyle w:val="24"/>
              <w:tabs>
                <w:tab w:val="left" w:pos="2520"/>
              </w:tabs>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废弃产品品类，包括纸类、塑料、玻璃、金属类、织物、电器六大类；</w:t>
            </w:r>
          </w:p>
        </w:tc>
      </w:tr>
      <w:tr w14:paraId="694424B8">
        <w:tblPrEx>
          <w:tblCellMar>
            <w:top w:w="0" w:type="dxa"/>
            <w:left w:w="108" w:type="dxa"/>
            <w:bottom w:w="0" w:type="dxa"/>
            <w:right w:w="108" w:type="dxa"/>
          </w:tblCellMar>
        </w:tblPrEx>
        <w:trPr>
          <w:trHeight w:val="397" w:hRule="atLeast"/>
        </w:trPr>
        <w:tc>
          <w:tcPr>
            <w:tcW w:w="496" w:type="pct"/>
            <w:vAlign w:val="center"/>
          </w:tcPr>
          <w:p w14:paraId="3818706C">
            <w:pPr>
              <w:pStyle w:val="24"/>
              <w:ind w:firstLine="420"/>
              <w:jc w:val="center"/>
              <w:rPr>
                <w:rFonts w:ascii="Times New Roman" w:cs="Times New Roman"/>
                <w:i/>
                <w:iCs/>
                <w:color w:val="auto"/>
                <w:highlight w:val="none"/>
                <w:lang w:eastAsia="zh-Hans"/>
              </w:rPr>
            </w:pPr>
            <m:oMathPara>
              <m:oMathParaPr>
                <m:jc m:val="left"/>
              </m:oMathParaPr>
              <m:oMath>
                <m:sSub>
                  <m:sSubPr>
                    <m:ctrlPr>
                      <w:rPr>
                        <w:rFonts w:hint="default" w:ascii="Cambria Math" w:hAnsi="Cambria Math" w:cs="Times New Roman"/>
                        <w:b w:val="0"/>
                        <w:i/>
                        <w:iCs/>
                        <w:color w:val="auto"/>
                        <w:kern w:val="0"/>
                        <w:highlight w:val="none"/>
                        <w:lang w:val="en-US" w:eastAsia="zh-CN"/>
                      </w:rPr>
                    </m:ctrlPr>
                  </m:sSubPr>
                  <m:e>
                    <m:r>
                      <m:rPr/>
                      <w:rPr>
                        <w:rFonts w:hint="default" w:ascii="Cambria Math" w:hAnsi="Cambria Math" w:cs="Times New Roman"/>
                        <w:color w:val="auto"/>
                        <w:kern w:val="0"/>
                        <w:highlight w:val="none"/>
                        <w:lang w:val="en-US" w:eastAsia="zh-CN"/>
                      </w:rPr>
                      <m:t>W</m:t>
                    </m:r>
                    <m:ctrlPr>
                      <w:rPr>
                        <w:rFonts w:hint="default" w:ascii="Cambria Math" w:hAnsi="Cambria Math" w:cs="Times New Roman"/>
                        <w:b w:val="0"/>
                        <w:i/>
                        <w:iCs/>
                        <w:color w:val="auto"/>
                        <w:kern w:val="0"/>
                        <w:highlight w:val="none"/>
                        <w:lang w:val="en-US" w:eastAsia="zh-CN"/>
                      </w:rPr>
                    </m:ctrlPr>
                  </m:e>
                  <m:sub>
                    <m:r>
                      <m:rPr/>
                      <w:rPr>
                        <w:rFonts w:hint="default" w:ascii="Cambria Math" w:hAnsi="Cambria Math" w:cs="Times New Roman"/>
                        <w:color w:val="auto"/>
                        <w:kern w:val="0"/>
                        <w:highlight w:val="none"/>
                        <w:lang w:val="en-US" w:eastAsia="zh-CN"/>
                      </w:rPr>
                      <m:t>i</m:t>
                    </m:r>
                    <m:ctrlPr>
                      <w:rPr>
                        <w:rFonts w:hint="default" w:ascii="Cambria Math" w:hAnsi="Cambria Math" w:cs="Times New Roman"/>
                        <w:b w:val="0"/>
                        <w:i/>
                        <w:iCs/>
                        <w:color w:val="auto"/>
                        <w:kern w:val="0"/>
                        <w:highlight w:val="none"/>
                        <w:lang w:val="en-US" w:eastAsia="zh-CN"/>
                      </w:rPr>
                    </m:ctrlPr>
                  </m:sub>
                </m:sSub>
              </m:oMath>
            </m:oMathPara>
          </w:p>
        </w:tc>
        <w:tc>
          <w:tcPr>
            <w:tcW w:w="395" w:type="pct"/>
            <w:vAlign w:val="center"/>
          </w:tcPr>
          <w:p w14:paraId="4B1A9747">
            <w:pPr>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108" w:type="pct"/>
            <w:vAlign w:val="center"/>
          </w:tcPr>
          <w:p w14:paraId="74F1B96E">
            <w:pPr>
              <w:pStyle w:val="24"/>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废弃产品i的重量，单位为千克（kg）；</w:t>
            </w:r>
          </w:p>
        </w:tc>
      </w:tr>
      <w:tr w14:paraId="48E5A47F">
        <w:tblPrEx>
          <w:tblCellMar>
            <w:top w:w="0" w:type="dxa"/>
            <w:left w:w="108" w:type="dxa"/>
            <w:bottom w:w="0" w:type="dxa"/>
            <w:right w:w="108" w:type="dxa"/>
          </w:tblCellMar>
        </w:tblPrEx>
        <w:trPr>
          <w:trHeight w:val="397" w:hRule="atLeast"/>
        </w:trPr>
        <w:tc>
          <w:tcPr>
            <w:tcW w:w="496" w:type="pct"/>
            <w:vAlign w:val="top"/>
          </w:tcPr>
          <w:p w14:paraId="55F9F45C">
            <w:pPr>
              <w:pStyle w:val="24"/>
              <w:ind w:firstLine="420"/>
              <w:jc w:val="center"/>
              <w:rPr>
                <w:rFonts w:ascii="Times New Roman" w:cs="Times New Roman"/>
                <w:i/>
                <w:iCs/>
                <w:color w:val="auto"/>
                <w:highlight w:val="none"/>
              </w:rPr>
            </w:pPr>
            <m:oMathPara>
              <m:oMath>
                <m:sSub>
                  <m:sSubPr>
                    <m:ctrlPr>
                      <w:rPr>
                        <w:rFonts w:ascii="Cambria Math" w:hAnsi="Cambria Math" w:cs="Times New Roman"/>
                        <w:i/>
                        <w:iCs/>
                        <w:color w:val="auto"/>
                        <w:kern w:val="0"/>
                        <w:highlight w:val="none"/>
                        <w:lang w:val="en-US"/>
                      </w:rPr>
                    </m:ctrlPr>
                  </m:sSubPr>
                  <m:e>
                    <m:r>
                      <m:rPr/>
                      <w:rPr>
                        <w:rFonts w:hint="default" w:ascii="Cambria Math" w:hAnsi="Cambria Math" w:cs="Times New Roman"/>
                        <w:color w:val="auto"/>
                        <w:kern w:val="0"/>
                        <w:highlight w:val="none"/>
                        <w:lang w:val="en-US" w:eastAsia="zh-CN"/>
                      </w:rPr>
                      <m:t>EF</m:t>
                    </m:r>
                    <m:ctrlPr>
                      <w:rPr>
                        <w:rFonts w:ascii="Cambria Math" w:hAnsi="Cambria Math" w:cs="Times New Roman"/>
                        <w:i/>
                        <w:iCs/>
                        <w:color w:val="auto"/>
                        <w:kern w:val="0"/>
                        <w:highlight w:val="none"/>
                        <w:lang w:val="en-US"/>
                      </w:rPr>
                    </m:ctrlPr>
                  </m:e>
                  <m:sub>
                    <m:r>
                      <m:rPr/>
                      <w:rPr>
                        <w:rFonts w:hint="eastAsia" w:ascii="Cambria Math" w:hAnsi="Cambria Math" w:cs="Times New Roman"/>
                        <w:color w:val="auto"/>
                        <w:kern w:val="0"/>
                        <w:highlight w:val="none"/>
                        <w:lang w:val="en-US" w:eastAsia="zh-CN"/>
                      </w:rPr>
                      <m:t>普惠</m:t>
                    </m:r>
                    <m:r>
                      <m:rPr/>
                      <w:rPr>
                        <w:rFonts w:hint="default" w:ascii="Cambria Math" w:hAnsi="Cambria Math" w:cs="Times New Roman"/>
                        <w:color w:val="auto"/>
                        <w:kern w:val="0"/>
                        <w:highlight w:val="none"/>
                        <w:lang w:val="en-US" w:eastAsia="zh-CN"/>
                      </w:rPr>
                      <m:t>i</m:t>
                    </m:r>
                    <m:ctrlPr>
                      <w:rPr>
                        <w:rFonts w:ascii="Cambria Math" w:hAnsi="Cambria Math" w:cs="Times New Roman"/>
                        <w:i/>
                        <w:iCs/>
                        <w:color w:val="auto"/>
                        <w:kern w:val="0"/>
                        <w:highlight w:val="none"/>
                        <w:lang w:val="en-US"/>
                      </w:rPr>
                    </m:ctrlPr>
                  </m:sub>
                </m:sSub>
              </m:oMath>
            </m:oMathPara>
          </w:p>
        </w:tc>
        <w:tc>
          <w:tcPr>
            <w:tcW w:w="395" w:type="pct"/>
            <w:vAlign w:val="top"/>
          </w:tcPr>
          <w:p w14:paraId="111FA9D2">
            <w:pPr>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108" w:type="pct"/>
            <w:vAlign w:val="center"/>
          </w:tcPr>
          <w:p w14:paraId="7CDC179B">
            <w:pPr>
              <w:pStyle w:val="24"/>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碳普惠情景下废弃产品i的碳排放因子，单位为千克二氧化碳每千克（</w:t>
            </w:r>
            <w:r>
              <w:rPr>
                <w:rFonts w:hint="eastAsia" w:ascii="Times New Roman" w:cs="Times New Roman"/>
                <w:i w:val="0"/>
                <w:iCs w:val="0"/>
                <w:color w:val="auto"/>
                <w:highlight w:val="none"/>
              </w:rPr>
              <w:t>kgCO</w:t>
            </w:r>
            <w:r>
              <w:rPr>
                <w:rFonts w:ascii="Times New Roman" w:cs="Times New Roman"/>
                <w:i w:val="0"/>
                <w:iCs w:val="0"/>
                <w:color w:val="auto"/>
                <w:highlight w:val="none"/>
                <w:vertAlign w:val="subscript"/>
              </w:rPr>
              <w:t>2</w:t>
            </w:r>
            <w:r>
              <w:rPr>
                <w:rFonts w:hint="eastAsia" w:ascii="Times New Roman" w:cs="Times New Roman"/>
                <w:i w:val="0"/>
                <w:iCs w:val="0"/>
                <w:color w:val="auto"/>
                <w:highlight w:val="none"/>
                <w:vertAlign w:val="baseline"/>
                <w:lang w:val="en-US" w:eastAsia="zh-CN"/>
              </w:rPr>
              <w:t>/kg</w:t>
            </w:r>
            <w:r>
              <w:rPr>
                <w:rFonts w:hint="eastAsia" w:ascii="Times New Roman" w:cs="Times New Roman"/>
                <w:i w:val="0"/>
                <w:iCs w:val="0"/>
                <w:color w:val="auto"/>
                <w:highlight w:val="none"/>
                <w:lang w:val="en-US" w:eastAsia="zh-CN"/>
              </w:rPr>
              <w:t>）。</w:t>
            </w:r>
          </w:p>
        </w:tc>
      </w:tr>
    </w:tbl>
    <w:p w14:paraId="5FE4D261">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66" w:name="_Toc30461"/>
      <w:bookmarkStart w:id="67" w:name="_Toc164770405"/>
      <w:bookmarkStart w:id="68" w:name="_Toc4232"/>
      <w:bookmarkStart w:id="69" w:name="_Toc10285"/>
      <w:bookmarkStart w:id="70" w:name="_Toc175936569"/>
      <w:r>
        <w:rPr>
          <w:rFonts w:hint="eastAsia"/>
          <w:bCs w:val="0"/>
          <w:iCs/>
          <w:color w:val="000000" w:themeColor="text1"/>
          <w:highlight w:val="none"/>
          <w:lang w:val="en-US" w:eastAsia="zh"/>
          <w14:textFill>
            <w14:solidFill>
              <w14:schemeClr w14:val="tx1"/>
            </w14:solidFill>
          </w14:textFill>
        </w:rPr>
        <w:t>6.5 减排量</w:t>
      </w:r>
      <w:bookmarkEnd w:id="66"/>
      <w:r>
        <w:rPr>
          <w:rFonts w:hint="eastAsia"/>
          <w:bCs w:val="0"/>
          <w:iCs/>
          <w:color w:val="000000" w:themeColor="text1"/>
          <w:highlight w:val="none"/>
          <w:lang w:val="en-US" w:eastAsia="zh"/>
          <w14:textFill>
            <w14:solidFill>
              <w14:schemeClr w14:val="tx1"/>
            </w14:solidFill>
          </w14:textFill>
        </w:rPr>
        <w:t>核算</w:t>
      </w:r>
      <w:bookmarkEnd w:id="67"/>
      <w:bookmarkEnd w:id="68"/>
      <w:bookmarkEnd w:id="69"/>
      <w:bookmarkEnd w:id="70"/>
    </w:p>
    <w:p w14:paraId="7D8FEB9F">
      <w:pPr>
        <w:ind w:firstLine="420"/>
        <w:rPr>
          <w:rFonts w:cs="Times New Roman"/>
          <w:color w:val="auto"/>
          <w:kern w:val="0"/>
          <w:highlight w:val="none"/>
        </w:rPr>
      </w:pPr>
      <w:r>
        <w:rPr>
          <w:rFonts w:cs="Times New Roman"/>
          <w:color w:val="auto"/>
          <w:kern w:val="0"/>
          <w:highlight w:val="none"/>
        </w:rPr>
        <w:t>减排量</w:t>
      </w:r>
      <w:r>
        <w:rPr>
          <w:rFonts w:hint="eastAsia" w:cs="Times New Roman"/>
          <w:color w:val="auto"/>
          <w:kern w:val="0"/>
          <w:highlight w:val="none"/>
          <w:lang w:val="en-US" w:eastAsia="zh-CN"/>
        </w:rPr>
        <w:t>按</w:t>
      </w:r>
      <w:r>
        <w:rPr>
          <w:rFonts w:cs="Times New Roman"/>
          <w:color w:val="auto"/>
          <w:kern w:val="0"/>
          <w:highlight w:val="none"/>
        </w:rPr>
        <w:t>公式（</w:t>
      </w:r>
      <w:r>
        <w:rPr>
          <w:rFonts w:hint="eastAsia" w:cs="Times New Roman"/>
          <w:color w:val="auto"/>
          <w:kern w:val="0"/>
          <w:highlight w:val="none"/>
          <w:lang w:val="en-US" w:eastAsia="zh-CN"/>
        </w:rPr>
        <w:t>3</w:t>
      </w:r>
      <w:r>
        <w:rPr>
          <w:rFonts w:cs="Times New Roman"/>
          <w:color w:val="auto"/>
          <w:kern w:val="0"/>
          <w:highlight w:val="none"/>
        </w:rPr>
        <w:t>）计算：</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8"/>
        <w:gridCol w:w="1312"/>
      </w:tblGrid>
      <w:tr w14:paraId="0EBD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29" w:type="pct"/>
            <w:vAlign w:val="center"/>
          </w:tcPr>
          <w:p w14:paraId="67DA535C">
            <w:pPr>
              <w:spacing w:line="0" w:lineRule="atLeast"/>
              <w:ind w:firstLine="420"/>
              <w:jc w:val="center"/>
              <w:rPr>
                <w:rFonts w:cs="Times New Roman"/>
                <w:i/>
                <w:iCs/>
                <w:color w:val="auto"/>
                <w:kern w:val="0"/>
                <w:highlight w:val="none"/>
              </w:rPr>
            </w:pPr>
            <w:bookmarkStart w:id="71" w:name="OLE_LINK29"/>
            <m:oMathPara>
              <m:oMath>
                <m:r>
                  <m:rPr/>
                  <w:rPr>
                    <w:rFonts w:ascii="Cambria Math" w:hAnsi="Cambria Math" w:cs="Times New Roman"/>
                    <w:color w:val="auto"/>
                    <w:kern w:val="0"/>
                    <w:highlight w:val="none"/>
                  </w:rPr>
                  <m:t>E</m:t>
                </m:r>
                <w:bookmarkEnd w:id="71"/>
                <m:r>
                  <m:rPr/>
                  <w:rPr>
                    <w:rFonts w:hint="default" w:ascii="Cambria Math" w:hAnsi="Cambria Math" w:cs="Times New Roman"/>
                    <w:color w:val="auto"/>
                    <w:kern w:val="0"/>
                    <w:highlight w:val="none"/>
                  </w:rPr>
                  <m:t>R</m:t>
                </m:r>
                <m:r>
                  <m:rPr>
                    <m:sty m:val="p"/>
                  </m:rPr>
                  <w:rPr>
                    <w:rFonts w:ascii="Cambria Math" w:hAnsi="Cambria Math" w:cs="Times New Roman"/>
                    <w:color w:val="auto"/>
                    <w:kern w:val="0"/>
                    <w:highlight w:val="none"/>
                  </w:rPr>
                  <m:t>=</m:t>
                </m:r>
                <m:r>
                  <m:rPr/>
                  <w:rPr>
                    <w:rFonts w:hint="default" w:ascii="Cambria Math" w:hAnsi="Cambria Math" w:cs="Times New Roman"/>
                    <w:color w:val="auto"/>
                    <w:kern w:val="0"/>
                    <w:highlight w:val="none"/>
                  </w:rPr>
                  <m:t>BE−PE</m:t>
                </m:r>
              </m:oMath>
            </m:oMathPara>
          </w:p>
        </w:tc>
        <w:tc>
          <w:tcPr>
            <w:tcW w:w="770" w:type="pct"/>
            <w:vAlign w:val="center"/>
          </w:tcPr>
          <w:p w14:paraId="1EE300A1">
            <w:pPr>
              <w:spacing w:line="0" w:lineRule="atLeast"/>
              <w:ind w:firstLine="420"/>
              <w:jc w:val="right"/>
              <w:rPr>
                <w:rFonts w:hint="eastAsia" w:eastAsia="宋体" w:cs="Times New Roman"/>
                <w:color w:val="auto"/>
                <w:kern w:val="0"/>
                <w:szCs w:val="28"/>
                <w:highlight w:val="none"/>
                <w:lang w:eastAsia="zh-CN"/>
              </w:rPr>
            </w:pPr>
            <w:r>
              <w:rPr>
                <w:rFonts w:hint="eastAsia" w:cs="Times New Roman"/>
                <w:color w:val="auto"/>
                <w:kern w:val="0"/>
                <w:szCs w:val="28"/>
                <w:highlight w:val="none"/>
                <w:lang w:eastAsia="zh-CN"/>
              </w:rPr>
              <w:t>（</w:t>
            </w:r>
            <w:r>
              <w:rPr>
                <w:rFonts w:hint="eastAsia" w:cs="Times New Roman"/>
                <w:color w:val="auto"/>
                <w:kern w:val="0"/>
                <w:szCs w:val="28"/>
                <w:highlight w:val="none"/>
                <w:lang w:val="en-US" w:eastAsia="zh-CN"/>
              </w:rPr>
              <w:t>3</w:t>
            </w:r>
            <w:r>
              <w:rPr>
                <w:rFonts w:hint="eastAsia" w:cs="Times New Roman"/>
                <w:color w:val="auto"/>
                <w:kern w:val="0"/>
                <w:szCs w:val="28"/>
                <w:highlight w:val="none"/>
                <w:lang w:eastAsia="zh-CN"/>
              </w:rPr>
              <w:t>）</w:t>
            </w:r>
          </w:p>
        </w:tc>
      </w:tr>
    </w:tbl>
    <w:p w14:paraId="4CE4E582">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eastAsia" w:cs="Times New Roman"/>
          <w:color w:val="auto"/>
          <w:highlight w:val="none"/>
          <w:lang w:val="en-US" w:eastAsia="zh-CN"/>
        </w:rPr>
      </w:pPr>
      <w:r>
        <w:rPr>
          <w:rFonts w:hint="eastAsia" w:cs="Times New Roman"/>
          <w:color w:val="auto"/>
          <w:highlight w:val="none"/>
          <w:lang w:val="en-US" w:eastAsia="zh-CN"/>
        </w:rPr>
        <w:t>式中：</w:t>
      </w:r>
    </w:p>
    <w:tbl>
      <w:tblPr>
        <w:tblStyle w:val="33"/>
        <w:tblW w:w="4723" w:type="pct"/>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
        <w:gridCol w:w="636"/>
        <w:gridCol w:w="6946"/>
      </w:tblGrid>
      <w:tr w14:paraId="589F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9" w:type="pct"/>
            <w:vAlign w:val="center"/>
          </w:tcPr>
          <w:p w14:paraId="61D686F4">
            <w:pPr>
              <w:widowControl w:val="0"/>
              <w:spacing w:line="0" w:lineRule="atLeast"/>
              <w:ind w:firstLine="0" w:firstLineChars="0"/>
              <w:jc w:val="left"/>
              <w:rPr>
                <w:rFonts w:cs="Times New Roman"/>
                <w:color w:val="auto"/>
                <w:kern w:val="0"/>
                <w:highlight w:val="none"/>
              </w:rPr>
            </w:pPr>
            <w:bookmarkStart w:id="72" w:name="OLE_LINK37" w:colFirst="1" w:colLast="1"/>
            <w:r>
              <w:rPr>
                <w:rFonts w:hint="eastAsia" w:ascii="Cambria Math" w:hAnsi="Cambria Math" w:eastAsia="宋体" w:cs="Times New Roman"/>
                <w:i/>
                <w:color w:val="auto"/>
                <w:highlight w:val="none"/>
                <w:lang w:val="en-US" w:eastAsia="zh-CN"/>
              </w:rPr>
              <w:t>ER</w:t>
            </w:r>
          </w:p>
        </w:tc>
        <w:tc>
          <w:tcPr>
            <w:tcW w:w="394" w:type="pct"/>
            <w:vAlign w:val="center"/>
          </w:tcPr>
          <w:p w14:paraId="23456D00">
            <w:pPr>
              <w:ind w:firstLine="0" w:firstLineChars="0"/>
              <w:jc w:val="center"/>
              <w:rPr>
                <w:rFonts w:cs="Times New Roman"/>
                <w:color w:val="auto"/>
                <w:kern w:val="0"/>
                <w:highlight w:val="none"/>
              </w:rPr>
            </w:pPr>
            <w:r>
              <w:rPr>
                <w:rFonts w:cs="Times New Roman"/>
                <w:color w:val="auto"/>
                <w:kern w:val="0"/>
                <w:highlight w:val="none"/>
              </w:rPr>
              <w:t>——</w:t>
            </w:r>
          </w:p>
        </w:tc>
        <w:tc>
          <w:tcPr>
            <w:tcW w:w="4385" w:type="pct"/>
            <w:vAlign w:val="center"/>
          </w:tcPr>
          <w:p w14:paraId="2D626761">
            <w:pPr>
              <w:ind w:firstLine="0" w:firstLineChars="0"/>
              <w:rPr>
                <w:rFonts w:cs="Times New Roman"/>
                <w:color w:val="auto"/>
                <w:kern w:val="0"/>
                <w:highlight w:val="none"/>
              </w:rPr>
            </w:pPr>
            <w:r>
              <w:rPr>
                <w:rFonts w:cs="Times New Roman"/>
                <w:color w:val="auto"/>
                <w:kern w:val="0"/>
                <w:highlight w:val="none"/>
              </w:rPr>
              <w:t>减排量</w:t>
            </w:r>
            <w:r>
              <w:rPr>
                <w:rFonts w:hint="eastAsia" w:ascii="Times New Roman" w:cs="Times New Roman"/>
                <w:i w:val="0"/>
                <w:iCs w:val="0"/>
                <w:color w:val="auto"/>
                <w:highlight w:val="none"/>
                <w:lang w:val="en-US" w:eastAsia="zh-CN"/>
              </w:rPr>
              <w:t>，单位为千克二氧化碳</w:t>
            </w:r>
            <w:r>
              <w:rPr>
                <w:rFonts w:hint="eastAsia" w:cs="Times New Roman"/>
                <w:color w:val="auto"/>
                <w:kern w:val="0"/>
                <w:highlight w:val="none"/>
              </w:rPr>
              <w:t>（kgCO</w:t>
            </w:r>
            <w:r>
              <w:rPr>
                <w:rFonts w:cs="Times New Roman"/>
                <w:color w:val="auto"/>
                <w:kern w:val="0"/>
                <w:highlight w:val="none"/>
                <w:vertAlign w:val="subscript"/>
              </w:rPr>
              <w:t>2</w:t>
            </w:r>
            <w:r>
              <w:rPr>
                <w:rFonts w:hint="eastAsia" w:cs="Times New Roman"/>
                <w:color w:val="auto"/>
                <w:kern w:val="0"/>
                <w:highlight w:val="none"/>
              </w:rPr>
              <w:t>）</w:t>
            </w:r>
          </w:p>
        </w:tc>
      </w:tr>
      <w:tr w14:paraId="5A35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9" w:type="pct"/>
            <w:vAlign w:val="center"/>
          </w:tcPr>
          <w:p w14:paraId="3148C8C4">
            <w:pPr>
              <w:widowControl w:val="0"/>
              <w:spacing w:line="0" w:lineRule="atLeast"/>
              <w:ind w:firstLine="0" w:firstLineChars="0"/>
              <w:jc w:val="left"/>
              <w:rPr>
                <w:rFonts w:cs="Times New Roman"/>
                <w:color w:val="auto"/>
                <w:kern w:val="0"/>
                <w:highlight w:val="none"/>
              </w:rPr>
            </w:pPr>
            <w:r>
              <w:rPr>
                <w:rFonts w:hint="eastAsia" w:ascii="Cambria Math" w:hAnsi="Cambria Math" w:eastAsia="宋体" w:cs="Times New Roman"/>
                <w:i/>
                <w:color w:val="auto"/>
                <w:highlight w:val="none"/>
                <w:lang w:val="en-US" w:eastAsia="zh-CN"/>
              </w:rPr>
              <w:t>BE</w:t>
            </w:r>
          </w:p>
        </w:tc>
        <w:tc>
          <w:tcPr>
            <w:tcW w:w="394" w:type="pct"/>
            <w:vAlign w:val="center"/>
          </w:tcPr>
          <w:p w14:paraId="1BBCBC0B">
            <w:pPr>
              <w:ind w:firstLine="0" w:firstLineChars="0"/>
              <w:jc w:val="center"/>
              <w:rPr>
                <w:rFonts w:cs="Times New Roman"/>
                <w:color w:val="auto"/>
                <w:kern w:val="0"/>
                <w:highlight w:val="none"/>
              </w:rPr>
            </w:pPr>
            <w:r>
              <w:rPr>
                <w:rFonts w:cs="Times New Roman"/>
                <w:color w:val="auto"/>
                <w:kern w:val="0"/>
                <w:highlight w:val="none"/>
              </w:rPr>
              <w:t>——</w:t>
            </w:r>
          </w:p>
        </w:tc>
        <w:tc>
          <w:tcPr>
            <w:tcW w:w="4385" w:type="pct"/>
            <w:vAlign w:val="center"/>
          </w:tcPr>
          <w:p w14:paraId="709A2F2A">
            <w:pPr>
              <w:ind w:firstLine="0" w:firstLineChars="0"/>
              <w:rPr>
                <w:rFonts w:cs="Times New Roman"/>
                <w:color w:val="auto"/>
                <w:kern w:val="0"/>
                <w:highlight w:val="none"/>
              </w:rPr>
            </w:pPr>
            <w:r>
              <w:rPr>
                <w:rFonts w:cs="Times New Roman"/>
                <w:color w:val="auto"/>
                <w:kern w:val="0"/>
                <w:highlight w:val="none"/>
              </w:rPr>
              <w:t>基准线</w:t>
            </w:r>
            <w:r>
              <w:rPr>
                <w:rFonts w:hint="eastAsia" w:cs="Times New Roman"/>
                <w:color w:val="auto"/>
                <w:kern w:val="0"/>
                <w:highlight w:val="none"/>
                <w:lang w:val="en-US" w:eastAsia="zh-CN"/>
              </w:rPr>
              <w:t>情景碳</w:t>
            </w:r>
            <w:r>
              <w:rPr>
                <w:rFonts w:cs="Times New Roman"/>
                <w:color w:val="auto"/>
                <w:kern w:val="0"/>
                <w:highlight w:val="none"/>
              </w:rPr>
              <w:t>排放量</w:t>
            </w:r>
            <w:r>
              <w:rPr>
                <w:rFonts w:hint="eastAsia" w:ascii="Times New Roman" w:cs="Times New Roman"/>
                <w:i w:val="0"/>
                <w:iCs w:val="0"/>
                <w:color w:val="auto"/>
                <w:highlight w:val="none"/>
                <w:lang w:val="en-US" w:eastAsia="zh-CN"/>
              </w:rPr>
              <w:t>，单位为千克二氧化碳</w:t>
            </w:r>
            <w:r>
              <w:rPr>
                <w:rFonts w:hint="eastAsia" w:cs="Times New Roman"/>
                <w:color w:val="auto"/>
                <w:kern w:val="0"/>
                <w:highlight w:val="none"/>
              </w:rPr>
              <w:t>（kgCO</w:t>
            </w:r>
            <w:r>
              <w:rPr>
                <w:rFonts w:cs="Times New Roman"/>
                <w:color w:val="auto"/>
                <w:kern w:val="0"/>
                <w:highlight w:val="none"/>
                <w:vertAlign w:val="subscript"/>
              </w:rPr>
              <w:t>2</w:t>
            </w:r>
            <w:r>
              <w:rPr>
                <w:rFonts w:hint="eastAsia" w:cs="Times New Roman"/>
                <w:color w:val="auto"/>
                <w:kern w:val="0"/>
                <w:highlight w:val="none"/>
              </w:rPr>
              <w:t>）</w:t>
            </w:r>
          </w:p>
        </w:tc>
      </w:tr>
      <w:tr w14:paraId="51AE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9" w:type="pct"/>
            <w:vAlign w:val="center"/>
          </w:tcPr>
          <w:p w14:paraId="6DBF48AD">
            <w:pPr>
              <w:widowControl w:val="0"/>
              <w:spacing w:line="0" w:lineRule="atLeast"/>
              <w:ind w:firstLine="0" w:firstLineChars="0"/>
              <w:jc w:val="left"/>
              <w:rPr>
                <w:rFonts w:cs="Times New Roman"/>
                <w:color w:val="auto"/>
                <w:kern w:val="0"/>
                <w:highlight w:val="none"/>
              </w:rPr>
            </w:pPr>
            <w:r>
              <w:rPr>
                <w:rFonts w:hint="eastAsia" w:ascii="Cambria Math" w:hAnsi="Cambria Math" w:eastAsia="宋体" w:cs="Times New Roman"/>
                <w:i/>
                <w:color w:val="auto"/>
                <w:highlight w:val="none"/>
                <w:lang w:val="en-US" w:eastAsia="zh-CN"/>
              </w:rPr>
              <w:t>PE</w:t>
            </w:r>
          </w:p>
        </w:tc>
        <w:tc>
          <w:tcPr>
            <w:tcW w:w="394" w:type="pct"/>
            <w:vAlign w:val="center"/>
          </w:tcPr>
          <w:p w14:paraId="319E0AF3">
            <w:pPr>
              <w:ind w:firstLine="0" w:firstLineChars="0"/>
              <w:jc w:val="center"/>
              <w:rPr>
                <w:rFonts w:cs="Times New Roman"/>
                <w:color w:val="auto"/>
                <w:kern w:val="0"/>
                <w:highlight w:val="none"/>
              </w:rPr>
            </w:pPr>
            <w:r>
              <w:rPr>
                <w:rFonts w:cs="Times New Roman"/>
                <w:color w:val="auto"/>
                <w:kern w:val="0"/>
                <w:highlight w:val="none"/>
              </w:rPr>
              <w:t>——</w:t>
            </w:r>
          </w:p>
        </w:tc>
        <w:tc>
          <w:tcPr>
            <w:tcW w:w="4385" w:type="pct"/>
            <w:vAlign w:val="center"/>
          </w:tcPr>
          <w:p w14:paraId="716363AB">
            <w:pPr>
              <w:ind w:firstLine="0" w:firstLineChars="0"/>
              <w:rPr>
                <w:rFonts w:cs="Times New Roman"/>
                <w:color w:val="auto"/>
                <w:kern w:val="0"/>
                <w:highlight w:val="none"/>
              </w:rPr>
            </w:pPr>
            <w:r>
              <w:rPr>
                <w:rFonts w:hint="eastAsia" w:cs="Times New Roman"/>
                <w:color w:val="auto"/>
                <w:kern w:val="0"/>
                <w:highlight w:val="none"/>
                <w:lang w:eastAsia="zh"/>
              </w:rPr>
              <w:t>碳普惠情景</w:t>
            </w:r>
            <w:r>
              <w:rPr>
                <w:rFonts w:hint="eastAsia" w:cs="Times New Roman"/>
                <w:color w:val="auto"/>
                <w:kern w:val="0"/>
                <w:highlight w:val="none"/>
                <w:lang w:val="en-US" w:eastAsia="zh-CN"/>
              </w:rPr>
              <w:t>碳</w:t>
            </w:r>
            <w:r>
              <w:rPr>
                <w:rFonts w:cs="Times New Roman"/>
                <w:color w:val="auto"/>
                <w:kern w:val="0"/>
                <w:highlight w:val="none"/>
              </w:rPr>
              <w:t>排放量</w:t>
            </w:r>
            <w:r>
              <w:rPr>
                <w:rFonts w:hint="eastAsia" w:ascii="Times New Roman" w:cs="Times New Roman"/>
                <w:i w:val="0"/>
                <w:iCs w:val="0"/>
                <w:color w:val="auto"/>
                <w:highlight w:val="none"/>
                <w:lang w:val="en-US" w:eastAsia="zh-CN"/>
              </w:rPr>
              <w:t>，单位为千克二氧化碳</w:t>
            </w:r>
            <w:r>
              <w:rPr>
                <w:rFonts w:hint="eastAsia" w:cs="Times New Roman"/>
                <w:color w:val="auto"/>
                <w:kern w:val="0"/>
                <w:highlight w:val="none"/>
              </w:rPr>
              <w:t>（kgCO</w:t>
            </w:r>
            <w:r>
              <w:rPr>
                <w:rFonts w:cs="Times New Roman"/>
                <w:color w:val="auto"/>
                <w:kern w:val="0"/>
                <w:highlight w:val="none"/>
                <w:vertAlign w:val="subscript"/>
              </w:rPr>
              <w:t>2</w:t>
            </w:r>
            <w:r>
              <w:rPr>
                <w:rFonts w:hint="eastAsia" w:cs="Times New Roman"/>
                <w:color w:val="auto"/>
                <w:kern w:val="0"/>
                <w:highlight w:val="none"/>
              </w:rPr>
              <w:t>）</w:t>
            </w:r>
          </w:p>
        </w:tc>
      </w:tr>
      <w:bookmarkEnd w:id="72"/>
    </w:tbl>
    <w:p w14:paraId="0B2BCEAF">
      <w:pPr>
        <w:pStyle w:val="3"/>
        <w:spacing w:before="312" w:after="312"/>
        <w:rPr>
          <w:color w:val="auto"/>
          <w:highlight w:val="none"/>
        </w:rPr>
      </w:pPr>
      <w:bookmarkStart w:id="73" w:name="_Toc25355"/>
      <w:bookmarkStart w:id="74" w:name="_Toc24374"/>
      <w:bookmarkStart w:id="75" w:name="_Toc172906189"/>
      <w:r>
        <w:rPr>
          <w:rFonts w:hint="eastAsia"/>
          <w:color w:val="auto"/>
          <w:highlight w:val="none"/>
        </w:rPr>
        <w:t>7</w:t>
      </w:r>
      <w:r>
        <w:rPr>
          <w:color w:val="auto"/>
          <w:highlight w:val="none"/>
        </w:rPr>
        <w:t xml:space="preserve"> 数据来源及监测</w:t>
      </w:r>
      <w:bookmarkEnd w:id="73"/>
      <w:bookmarkEnd w:id="74"/>
      <w:bookmarkEnd w:id="75"/>
    </w:p>
    <w:p w14:paraId="322EE9B2">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76" w:name="_Toc4254"/>
      <w:bookmarkStart w:id="77" w:name="_Toc164770407"/>
      <w:bookmarkStart w:id="78" w:name="_Toc20221"/>
      <w:bookmarkStart w:id="79" w:name="_Toc20442"/>
      <w:bookmarkStart w:id="80" w:name="_Toc175936571"/>
      <w:r>
        <w:rPr>
          <w:rFonts w:hint="eastAsia"/>
          <w:bCs w:val="0"/>
          <w:iCs/>
          <w:color w:val="000000" w:themeColor="text1"/>
          <w:highlight w:val="none"/>
          <w:lang w:val="en-US" w:eastAsia="zh"/>
          <w14:textFill>
            <w14:solidFill>
              <w14:schemeClr w14:val="tx1"/>
            </w14:solidFill>
          </w14:textFill>
        </w:rPr>
        <w:t xml:space="preserve">7.1 </w:t>
      </w:r>
      <w:bookmarkEnd w:id="76"/>
      <w:r>
        <w:rPr>
          <w:rFonts w:hint="eastAsia"/>
          <w:bCs w:val="0"/>
          <w:iCs/>
          <w:color w:val="000000" w:themeColor="text1"/>
          <w:highlight w:val="none"/>
          <w:lang w:val="en-US" w:eastAsia="zh"/>
          <w14:textFill>
            <w14:solidFill>
              <w14:schemeClr w14:val="tx1"/>
            </w14:solidFill>
          </w14:textFill>
        </w:rPr>
        <w:t>事前需确定的参数和数据</w:t>
      </w:r>
      <w:bookmarkEnd w:id="77"/>
      <w:bookmarkEnd w:id="78"/>
      <w:bookmarkEnd w:id="79"/>
      <w:bookmarkEnd w:id="80"/>
    </w:p>
    <w:p w14:paraId="6AF2B6B8">
      <w:pPr>
        <w:spacing w:line="240" w:lineRule="atLeast"/>
        <w:ind w:firstLine="420"/>
        <w:rPr>
          <w:rFonts w:hint="eastAsia" w:cs="Times New Roman"/>
          <w:color w:val="auto"/>
          <w:kern w:val="0"/>
          <w:highlight w:val="none"/>
        </w:rPr>
      </w:pPr>
      <w:r>
        <w:rPr>
          <w:rFonts w:hint="eastAsia" w:cs="Times New Roman"/>
          <w:color w:val="auto"/>
          <w:kern w:val="0"/>
          <w:highlight w:val="none"/>
        </w:rPr>
        <w:t>事前需确定的参数</w:t>
      </w:r>
      <w:r>
        <w:rPr>
          <w:rFonts w:hint="eastAsia" w:cs="Times New Roman"/>
          <w:color w:val="auto"/>
          <w:kern w:val="0"/>
          <w:highlight w:val="none"/>
          <w:lang w:val="en-US" w:eastAsia="zh-CN"/>
        </w:rPr>
        <w:t>和</w:t>
      </w:r>
      <w:r>
        <w:rPr>
          <w:rFonts w:hint="eastAsia" w:cs="Times New Roman"/>
          <w:color w:val="auto"/>
          <w:kern w:val="0"/>
          <w:highlight w:val="none"/>
        </w:rPr>
        <w:t>数据的技术内容和确定方法见表2-表</w:t>
      </w:r>
      <w:r>
        <w:rPr>
          <w:rFonts w:hint="eastAsia" w:cs="Times New Roman"/>
          <w:color w:val="auto"/>
          <w:kern w:val="0"/>
          <w:highlight w:val="none"/>
          <w:lang w:val="en-US" w:eastAsia="zh-CN"/>
        </w:rPr>
        <w:t>3</w:t>
      </w:r>
      <w:r>
        <w:rPr>
          <w:rFonts w:hint="eastAsia" w:cs="Times New Roman"/>
          <w:color w:val="auto"/>
          <w:kern w:val="0"/>
          <w:highlight w:val="none"/>
        </w:rPr>
        <w:t>。</w:t>
      </w:r>
    </w:p>
    <w:p w14:paraId="5863C484">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2</w:t>
      </w:r>
      <w:r>
        <w:rPr>
          <w:rFonts w:hint="eastAsia" w:ascii="Times New Roman" w:hAnsi="Times New Roman" w:eastAsia="黑体" w:cs="Times New Roman"/>
          <w:snapToGrid w:val="0"/>
          <w:color w:val="auto"/>
          <w:kern w:val="0"/>
          <w:highlight w:val="none"/>
          <w:lang w:eastAsia="en-US"/>
        </w:rPr>
        <w:t xml:space="preserve"> </w:t>
      </w:r>
      <w:r>
        <w:rPr>
          <w:rFonts w:hint="eastAsia" w:eastAsia="黑体" w:cs="Times New Roman"/>
          <w:i/>
          <w:iCs/>
          <w:snapToGrid w:val="0"/>
          <w:color w:val="auto"/>
          <w:kern w:val="0"/>
          <w:highlight w:val="none"/>
          <w:lang w:val="en-US" w:eastAsia="zh-CN"/>
        </w:rPr>
        <w:t>EF</w:t>
      </w:r>
      <w:r>
        <w:rPr>
          <w:rFonts w:hint="eastAsia" w:eastAsia="黑体" w:cs="Times New Roman"/>
          <w:i/>
          <w:iCs/>
          <w:snapToGrid w:val="0"/>
          <w:color w:val="auto"/>
          <w:kern w:val="0"/>
          <w:highlight w:val="none"/>
          <w:vertAlign w:val="subscript"/>
          <w:lang w:val="en-US" w:eastAsia="zh-CN"/>
        </w:rPr>
        <w:t>基准i</w:t>
      </w:r>
      <w:r>
        <w:rPr>
          <w:rFonts w:hint="eastAsia" w:ascii="Times New Roman" w:hAnsi="Times New Roman" w:eastAsia="黑体" w:cs="Times New Roman"/>
          <w:snapToGrid w:val="0"/>
          <w:color w:val="auto"/>
          <w:kern w:val="0"/>
          <w:highlight w:val="none"/>
          <w:lang w:val="en-US" w:eastAsia="zh-CN"/>
        </w:rPr>
        <w:t>的技术内容和确定方法</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680C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3C1C96C1">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cs="Times New Roman"/>
                <w:color w:val="auto"/>
                <w:kern w:val="0"/>
                <w:sz w:val="18"/>
                <w:szCs w:val="18"/>
                <w:highlight w:val="none"/>
                <w:lang w:eastAsia="zh-CN"/>
              </w:rPr>
              <w:t>参数/数据</w:t>
            </w:r>
          </w:p>
        </w:tc>
        <w:tc>
          <w:tcPr>
            <w:tcW w:w="4237" w:type="pct"/>
            <w:shd w:val="clear" w:color="auto" w:fill="auto"/>
            <w:vAlign w:val="center"/>
          </w:tcPr>
          <w:p w14:paraId="20366B14">
            <w:pPr>
              <w:widowControl w:val="0"/>
              <w:ind w:firstLine="0" w:firstLineChars="0"/>
              <w:jc w:val="left"/>
              <w:rPr>
                <w:rFonts w:hint="eastAsia" w:ascii="Times New Roman" w:hAnsi="Times New Roman" w:cs="Times New Roman"/>
                <w:color w:val="auto"/>
                <w:kern w:val="0"/>
                <w:sz w:val="18"/>
                <w:szCs w:val="18"/>
                <w:highlight w:val="none"/>
              </w:rPr>
            </w:pPr>
            <w:r>
              <w:rPr>
                <w:rFonts w:hint="eastAsia" w:eastAsia="黑体" w:cs="Times New Roman"/>
                <w:i/>
                <w:iCs/>
                <w:snapToGrid w:val="0"/>
                <w:color w:val="auto"/>
                <w:kern w:val="0"/>
                <w:sz w:val="18"/>
                <w:szCs w:val="18"/>
                <w:highlight w:val="none"/>
                <w:lang w:val="en-US" w:eastAsia="zh-CN"/>
              </w:rPr>
              <w:t>EF</w:t>
            </w:r>
            <w:r>
              <w:rPr>
                <w:rFonts w:hint="eastAsia" w:eastAsia="黑体" w:cs="Times New Roman"/>
                <w:i/>
                <w:iCs/>
                <w:snapToGrid w:val="0"/>
                <w:color w:val="auto"/>
                <w:kern w:val="0"/>
                <w:sz w:val="18"/>
                <w:szCs w:val="18"/>
                <w:highlight w:val="none"/>
                <w:vertAlign w:val="subscript"/>
                <w:lang w:val="en-US" w:eastAsia="zh-CN"/>
              </w:rPr>
              <w:t>基准i</w:t>
            </w:r>
          </w:p>
        </w:tc>
      </w:tr>
      <w:tr w14:paraId="57E6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753CDA9A">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39AA46A1">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公式（</w:t>
            </w:r>
            <w:r>
              <w:rPr>
                <w:rFonts w:hint="eastAsia"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rPr>
              <w:t>）</w:t>
            </w:r>
          </w:p>
        </w:tc>
      </w:tr>
      <w:tr w14:paraId="2186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54A3816F">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48AF9B98">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/kg</w:t>
            </w:r>
          </w:p>
        </w:tc>
      </w:tr>
      <w:tr w14:paraId="4767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3731146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 xml:space="preserve"> </w:t>
            </w: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7F56C96B">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基准线情境下</w:t>
            </w:r>
            <w:r>
              <w:rPr>
                <w:rFonts w:hint="eastAsia" w:cs="Times New Roman"/>
                <w:color w:val="auto"/>
                <w:kern w:val="0"/>
                <w:sz w:val="18"/>
                <w:szCs w:val="18"/>
                <w:highlight w:val="none"/>
                <w:lang w:val="en-US" w:eastAsia="zh-CN"/>
              </w:rPr>
              <w:t>废弃产品</w:t>
            </w:r>
            <w:r>
              <w:rPr>
                <w:rFonts w:hint="eastAsia" w:ascii="Times New Roman" w:hAnsi="Times New Roman" w:cs="Times New Roman"/>
                <w:color w:val="auto"/>
                <w:kern w:val="0"/>
                <w:sz w:val="18"/>
                <w:szCs w:val="18"/>
                <w:highlight w:val="none"/>
                <w:lang w:val="en-US" w:eastAsia="zh-CN"/>
              </w:rPr>
              <w:t>i的碳排放因子</w:t>
            </w:r>
          </w:p>
        </w:tc>
      </w:tr>
      <w:tr w14:paraId="6C52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3490C571">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14376C1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69938A6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w:t>
            </w:r>
            <w:r>
              <w:rPr>
                <w:rFonts w:hint="eastAsia" w:ascii="Times New Roman" w:hAnsi="Times New Roman" w:cs="Times New Roman"/>
                <w:kern w:val="0"/>
                <w:sz w:val="18"/>
                <w:szCs w:val="18"/>
                <w:highlight w:val="none"/>
                <w:lang w:val="en-US" w:eastAsia="zh-CN"/>
              </w:rPr>
              <w:t>参与方测量）</w:t>
            </w:r>
            <w:r>
              <w:rPr>
                <w:rFonts w:hint="eastAsia" w:cs="Times New Roman"/>
                <w:kern w:val="0"/>
                <w:sz w:val="18"/>
                <w:szCs w:val="18"/>
                <w:highlight w:val="none"/>
                <w:lang w:val="en-US" w:eastAsia="zh-CN"/>
              </w:rPr>
              <w:t>；</w:t>
            </w:r>
          </w:p>
          <w:p w14:paraId="123BAC1B">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6CAF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6C79E1E4">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06A28F3F">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271E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39CA00EF">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64C59A61">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基准线情景</w:t>
            </w:r>
            <w:r>
              <w:rPr>
                <w:rFonts w:hint="eastAsia" w:cs="Times New Roman"/>
                <w:color w:val="auto"/>
                <w:kern w:val="0"/>
                <w:sz w:val="18"/>
                <w:szCs w:val="18"/>
                <w:highlight w:val="none"/>
                <w:lang w:val="en-US" w:eastAsia="zh-CN"/>
              </w:rPr>
              <w:t>碳排放量</w:t>
            </w:r>
            <w:r>
              <w:rPr>
                <w:rFonts w:hint="eastAsia" w:cs="Times New Roman"/>
                <w:i/>
                <w:iCs/>
                <w:color w:val="auto"/>
                <w:kern w:val="0"/>
                <w:sz w:val="18"/>
                <w:szCs w:val="18"/>
                <w:highlight w:val="none"/>
                <w:lang w:val="en-US" w:eastAsia="zh-CN"/>
              </w:rPr>
              <w:t>BE</w:t>
            </w:r>
          </w:p>
        </w:tc>
      </w:tr>
      <w:tr w14:paraId="003F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00D6FF34">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2632C8BF">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01D380CE">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val="en-US" w:eastAsia="zh-CN"/>
        </w:rPr>
        <w:t xml:space="preserve">表3 </w:t>
      </w:r>
      <w:r>
        <w:rPr>
          <w:rFonts w:hint="eastAsia" w:eastAsia="黑体" w:cs="Times New Roman"/>
          <w:i/>
          <w:iCs/>
          <w:snapToGrid w:val="0"/>
          <w:color w:val="auto"/>
          <w:kern w:val="0"/>
          <w:highlight w:val="none"/>
          <w:lang w:val="en-US" w:eastAsia="zh-CN"/>
        </w:rPr>
        <w:t>EF</w:t>
      </w:r>
      <w:r>
        <w:rPr>
          <w:rFonts w:hint="eastAsia" w:eastAsia="黑体" w:cs="Times New Roman"/>
          <w:i/>
          <w:iCs/>
          <w:snapToGrid w:val="0"/>
          <w:color w:val="auto"/>
          <w:kern w:val="0"/>
          <w:highlight w:val="none"/>
          <w:vertAlign w:val="subscript"/>
          <w:lang w:val="en-US" w:eastAsia="zh-CN"/>
        </w:rPr>
        <w:t>普惠i</w:t>
      </w:r>
      <w:r>
        <w:rPr>
          <w:rFonts w:hint="eastAsia" w:ascii="Times New Roman" w:hAnsi="Times New Roman" w:eastAsia="黑体" w:cs="Times New Roman"/>
          <w:snapToGrid w:val="0"/>
          <w:color w:val="auto"/>
          <w:kern w:val="0"/>
          <w:highlight w:val="none"/>
          <w:lang w:val="en-US" w:eastAsia="zh-CN"/>
        </w:rPr>
        <w:t>的技术内容和确定方法</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03C0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48D37396">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cs="Times New Roman"/>
                <w:color w:val="auto"/>
                <w:kern w:val="0"/>
                <w:sz w:val="18"/>
                <w:szCs w:val="18"/>
                <w:highlight w:val="none"/>
                <w:lang w:eastAsia="zh-CN"/>
              </w:rPr>
              <w:t>参数/数据</w:t>
            </w:r>
          </w:p>
        </w:tc>
        <w:tc>
          <w:tcPr>
            <w:tcW w:w="4237" w:type="pct"/>
            <w:shd w:val="clear" w:color="auto" w:fill="auto"/>
            <w:vAlign w:val="center"/>
          </w:tcPr>
          <w:p w14:paraId="0B50222D">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i/>
                <w:iCs/>
                <w:color w:val="auto"/>
                <w:kern w:val="0"/>
                <w:sz w:val="18"/>
                <w:szCs w:val="18"/>
                <w:highlight w:val="none"/>
                <w:lang w:val="en-US" w:eastAsia="zh-CN"/>
              </w:rPr>
              <w:t>EF</w:t>
            </w:r>
            <w:r>
              <w:rPr>
                <w:rFonts w:hint="eastAsia" w:cs="Times New Roman"/>
                <w:i/>
                <w:iCs/>
                <w:color w:val="auto"/>
                <w:kern w:val="0"/>
                <w:sz w:val="18"/>
                <w:szCs w:val="18"/>
                <w:highlight w:val="none"/>
                <w:vertAlign w:val="subscript"/>
                <w:lang w:val="en-US" w:eastAsia="zh-CN"/>
              </w:rPr>
              <w:t>普惠i</w:t>
            </w:r>
          </w:p>
        </w:tc>
      </w:tr>
      <w:tr w14:paraId="5DF4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0BC18B14">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119F60E3">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公式（</w:t>
            </w:r>
            <w:r>
              <w:rPr>
                <w:rFonts w:hint="eastAsia" w:ascii="Times New Roman" w:hAnsi="Times New Roman" w:eastAsia="宋体" w:cs="Times New Roman"/>
                <w:color w:val="auto"/>
                <w:kern w:val="0"/>
                <w:sz w:val="18"/>
                <w:szCs w:val="18"/>
                <w:highlight w:val="none"/>
                <w:lang w:val="en-US" w:eastAsia="zh-CN"/>
              </w:rPr>
              <w:t>2</w:t>
            </w:r>
            <w:r>
              <w:rPr>
                <w:rFonts w:hint="eastAsia" w:ascii="Times New Roman" w:hAnsi="Times New Roman" w:cs="Times New Roman"/>
                <w:color w:val="auto"/>
                <w:kern w:val="0"/>
                <w:sz w:val="18"/>
                <w:szCs w:val="18"/>
                <w:highlight w:val="none"/>
              </w:rPr>
              <w:t>）</w:t>
            </w:r>
          </w:p>
        </w:tc>
      </w:tr>
      <w:tr w14:paraId="4CB3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33E37879">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w:t>
            </w:r>
            <w:r>
              <w:rPr>
                <w:rFonts w:ascii="Times New Roman" w:hAnsi="Times New Roman" w:cs="Times New Roman"/>
                <w:color w:val="auto"/>
                <w:kern w:val="0"/>
                <w:sz w:val="18"/>
                <w:szCs w:val="18"/>
                <w:highlight w:val="none"/>
              </w:rPr>
              <w:t>单位</w:t>
            </w:r>
          </w:p>
        </w:tc>
        <w:tc>
          <w:tcPr>
            <w:tcW w:w="4237" w:type="pct"/>
            <w:shd w:val="clear" w:color="auto" w:fill="auto"/>
            <w:vAlign w:val="center"/>
          </w:tcPr>
          <w:p w14:paraId="38A4507E">
            <w:pPr>
              <w:widowControl w:val="0"/>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/kg</w:t>
            </w:r>
          </w:p>
        </w:tc>
      </w:tr>
      <w:tr w14:paraId="01D5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2CEF47A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描述</w:t>
            </w:r>
          </w:p>
        </w:tc>
        <w:tc>
          <w:tcPr>
            <w:tcW w:w="4237" w:type="pct"/>
            <w:shd w:val="clear" w:color="auto" w:fill="auto"/>
            <w:vAlign w:val="center"/>
          </w:tcPr>
          <w:p w14:paraId="5992C0CC">
            <w:pPr>
              <w:widowControl w:val="0"/>
              <w:ind w:firstLine="0" w:firstLineChars="0"/>
              <w:jc w:val="left"/>
              <w:rPr>
                <w:rFonts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碳普惠</w:t>
            </w:r>
            <w:r>
              <w:rPr>
                <w:rFonts w:hint="eastAsia" w:ascii="Times New Roman" w:hAnsi="Times New Roman" w:cs="Times New Roman"/>
                <w:color w:val="auto"/>
                <w:kern w:val="0"/>
                <w:sz w:val="18"/>
                <w:szCs w:val="18"/>
                <w:highlight w:val="none"/>
                <w:lang w:val="en-US" w:eastAsia="zh-CN"/>
              </w:rPr>
              <w:t>情境下</w:t>
            </w:r>
            <w:r>
              <w:rPr>
                <w:rFonts w:hint="eastAsia" w:cs="Times New Roman"/>
                <w:color w:val="auto"/>
                <w:kern w:val="0"/>
                <w:sz w:val="18"/>
                <w:szCs w:val="18"/>
                <w:highlight w:val="none"/>
                <w:lang w:val="en-US" w:eastAsia="zh-CN"/>
              </w:rPr>
              <w:t>废弃产品</w:t>
            </w:r>
            <w:r>
              <w:rPr>
                <w:rFonts w:hint="eastAsia" w:ascii="Times New Roman" w:hAnsi="Times New Roman" w:cs="Times New Roman"/>
                <w:color w:val="auto"/>
                <w:kern w:val="0"/>
                <w:sz w:val="18"/>
                <w:szCs w:val="18"/>
                <w:highlight w:val="none"/>
                <w:lang w:val="en-US" w:eastAsia="zh-CN"/>
              </w:rPr>
              <w:t>i的碳排放因子</w:t>
            </w:r>
          </w:p>
        </w:tc>
      </w:tr>
      <w:tr w14:paraId="16C5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6EDC012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数据来源</w:t>
            </w:r>
          </w:p>
        </w:tc>
        <w:tc>
          <w:tcPr>
            <w:tcW w:w="4237" w:type="pct"/>
            <w:shd w:val="clear" w:color="auto" w:fill="auto"/>
            <w:vAlign w:val="center"/>
          </w:tcPr>
          <w:p w14:paraId="1695650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14:paraId="691E6CB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w:t>
            </w:r>
            <w:r>
              <w:rPr>
                <w:rFonts w:hint="eastAsia" w:ascii="Times New Roman" w:hAnsi="Times New Roman" w:cs="Times New Roman"/>
                <w:kern w:val="0"/>
                <w:sz w:val="18"/>
                <w:szCs w:val="18"/>
                <w:highlight w:val="none"/>
                <w:lang w:val="en-US" w:eastAsia="zh-CN"/>
              </w:rPr>
              <w:t>参与方测量）</w:t>
            </w:r>
            <w:r>
              <w:rPr>
                <w:rFonts w:hint="eastAsia" w:cs="Times New Roman"/>
                <w:kern w:val="0"/>
                <w:sz w:val="18"/>
                <w:szCs w:val="18"/>
                <w:highlight w:val="none"/>
                <w:lang w:val="en-US" w:eastAsia="zh-CN"/>
              </w:rPr>
              <w:t>；</w:t>
            </w:r>
          </w:p>
          <w:p w14:paraId="1AD9C6CF">
            <w:pPr>
              <w:widowControl w:val="0"/>
              <w:numPr>
                <w:ilvl w:val="0"/>
                <w:numId w:val="0"/>
              </w:numPr>
              <w:jc w:val="left"/>
              <w:rPr>
                <w:rFonts w:hint="default" w:cs="Times New Roman"/>
                <w:color w:val="auto"/>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14:paraId="18F9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244A6325">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194DDB6B">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3343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0B956AB3">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297645F2">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用于计算</w:t>
            </w:r>
            <w:r>
              <w:rPr>
                <w:rFonts w:hint="eastAsia" w:cs="Times New Roman"/>
                <w:color w:val="auto"/>
                <w:kern w:val="0"/>
                <w:sz w:val="18"/>
                <w:szCs w:val="18"/>
                <w:highlight w:val="none"/>
                <w:lang w:val="en-US" w:eastAsia="zh-CN"/>
              </w:rPr>
              <w:t>碳普惠</w:t>
            </w:r>
            <w:r>
              <w:rPr>
                <w:rFonts w:hint="eastAsia" w:ascii="Times New Roman" w:hAnsi="Times New Roman" w:cs="Times New Roman"/>
                <w:color w:val="auto"/>
                <w:kern w:val="0"/>
                <w:sz w:val="18"/>
                <w:szCs w:val="18"/>
                <w:highlight w:val="none"/>
                <w:lang w:val="en-US" w:eastAsia="zh-CN"/>
              </w:rPr>
              <w:t>情景</w:t>
            </w:r>
            <w:r>
              <w:rPr>
                <w:rFonts w:hint="eastAsia" w:cs="Times New Roman"/>
                <w:color w:val="auto"/>
                <w:kern w:val="0"/>
                <w:sz w:val="18"/>
                <w:szCs w:val="18"/>
                <w:highlight w:val="none"/>
                <w:lang w:val="en-US" w:eastAsia="zh-CN"/>
              </w:rPr>
              <w:t>碳排放量</w:t>
            </w:r>
            <w:r>
              <w:rPr>
                <w:rFonts w:hint="eastAsia" w:cs="Times New Roman"/>
                <w:i/>
                <w:iCs/>
                <w:color w:val="auto"/>
                <w:kern w:val="0"/>
                <w:sz w:val="18"/>
                <w:szCs w:val="18"/>
                <w:highlight w:val="none"/>
                <w:lang w:val="en-US" w:eastAsia="zh-CN"/>
              </w:rPr>
              <w:t>PE</w:t>
            </w:r>
          </w:p>
        </w:tc>
      </w:tr>
      <w:tr w14:paraId="6C7C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14:paraId="1713A968">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2D01735B">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52484FD3">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81" w:name="_Toc4132"/>
      <w:bookmarkStart w:id="82" w:name="_Toc5269"/>
      <w:bookmarkStart w:id="83" w:name="_Toc175936573"/>
      <w:r>
        <w:rPr>
          <w:rFonts w:hint="eastAsia"/>
          <w:bCs w:val="0"/>
          <w:iCs/>
          <w:color w:val="000000" w:themeColor="text1"/>
          <w:highlight w:val="none"/>
          <w:lang w:val="en-US" w:eastAsia="zh"/>
          <w14:textFill>
            <w14:solidFill>
              <w14:schemeClr w14:val="tx1"/>
            </w14:solidFill>
          </w14:textFill>
        </w:rPr>
        <w:t>7.</w:t>
      </w:r>
      <w:r>
        <w:rPr>
          <w:rFonts w:hint="eastAsia"/>
          <w:bCs w:val="0"/>
          <w:iCs/>
          <w:color w:val="000000" w:themeColor="text1"/>
          <w:highlight w:val="none"/>
          <w:lang w:val="en-US" w:eastAsia="zh-CN"/>
          <w14:textFill>
            <w14:solidFill>
              <w14:schemeClr w14:val="tx1"/>
            </w14:solidFill>
          </w14:textFill>
        </w:rPr>
        <w:t>2</w:t>
      </w:r>
      <w:r>
        <w:rPr>
          <w:rFonts w:hint="eastAsia"/>
          <w:bCs w:val="0"/>
          <w:iCs/>
          <w:color w:val="000000" w:themeColor="text1"/>
          <w:highlight w:val="none"/>
          <w:lang w:val="en-US" w:eastAsia="zh"/>
          <w14:textFill>
            <w14:solidFill>
              <w14:schemeClr w14:val="tx1"/>
            </w14:solidFill>
          </w14:textFill>
        </w:rPr>
        <w:t xml:space="preserve"> </w:t>
      </w:r>
      <w:r>
        <w:rPr>
          <w:rFonts w:hint="eastAsia"/>
          <w:bCs w:val="0"/>
          <w:iCs/>
          <w:color w:val="000000" w:themeColor="text1"/>
          <w:highlight w:val="none"/>
          <w:lang w:val="en-US" w:eastAsia="zh-CN"/>
          <w14:textFill>
            <w14:solidFill>
              <w14:schemeClr w14:val="tx1"/>
            </w14:solidFill>
          </w14:textFill>
        </w:rPr>
        <w:t>实施阶段</w:t>
      </w:r>
      <w:r>
        <w:rPr>
          <w:rFonts w:hint="eastAsia"/>
          <w:bCs w:val="0"/>
          <w:iCs/>
          <w:color w:val="000000" w:themeColor="text1"/>
          <w:highlight w:val="none"/>
          <w:lang w:val="en-US" w:eastAsia="zh"/>
          <w14:textFill>
            <w14:solidFill>
              <w14:schemeClr w14:val="tx1"/>
            </w14:solidFill>
          </w14:textFill>
        </w:rPr>
        <w:t>需</w:t>
      </w:r>
      <w:r>
        <w:rPr>
          <w:rFonts w:hint="eastAsia"/>
          <w:bCs w:val="0"/>
          <w:iCs/>
          <w:color w:val="000000" w:themeColor="text1"/>
          <w:highlight w:val="none"/>
          <w:lang w:val="en-US" w:eastAsia="zh-CN"/>
          <w14:textFill>
            <w14:solidFill>
              <w14:schemeClr w14:val="tx1"/>
            </w14:solidFill>
          </w14:textFill>
        </w:rPr>
        <w:t>监测和</w:t>
      </w:r>
      <w:r>
        <w:rPr>
          <w:rFonts w:hint="eastAsia"/>
          <w:bCs w:val="0"/>
          <w:iCs/>
          <w:color w:val="000000" w:themeColor="text1"/>
          <w:highlight w:val="none"/>
          <w:lang w:val="en-US" w:eastAsia="zh"/>
          <w14:textFill>
            <w14:solidFill>
              <w14:schemeClr w14:val="tx1"/>
            </w14:solidFill>
          </w14:textFill>
        </w:rPr>
        <w:t>确定的参数和数据</w:t>
      </w:r>
      <w:bookmarkEnd w:id="81"/>
    </w:p>
    <w:p w14:paraId="5DD8E345">
      <w:pPr>
        <w:spacing w:line="240" w:lineRule="atLeast"/>
        <w:ind w:firstLine="420"/>
        <w:rPr>
          <w:rFonts w:hint="eastAsia" w:cs="Times New Roman"/>
          <w:color w:val="auto"/>
          <w:kern w:val="0"/>
          <w:highlight w:val="none"/>
        </w:rPr>
      </w:pPr>
      <w:r>
        <w:rPr>
          <w:rFonts w:hint="eastAsia" w:cs="Times New Roman"/>
          <w:color w:val="auto"/>
          <w:kern w:val="0"/>
          <w:highlight w:val="none"/>
          <w:lang w:val="en-US" w:eastAsia="zh-CN"/>
        </w:rPr>
        <w:t>实施阶段</w:t>
      </w:r>
      <w:r>
        <w:rPr>
          <w:rFonts w:hint="eastAsia" w:cs="Times New Roman"/>
          <w:color w:val="auto"/>
          <w:kern w:val="0"/>
          <w:highlight w:val="none"/>
        </w:rPr>
        <w:t>需</w:t>
      </w:r>
      <w:r>
        <w:rPr>
          <w:rFonts w:hint="eastAsia" w:cs="Times New Roman"/>
          <w:color w:val="auto"/>
          <w:kern w:val="0"/>
          <w:highlight w:val="none"/>
          <w:lang w:val="en-US" w:eastAsia="zh-CN"/>
        </w:rPr>
        <w:t>监测和</w:t>
      </w:r>
      <w:r>
        <w:rPr>
          <w:rFonts w:hint="eastAsia" w:cs="Times New Roman"/>
          <w:color w:val="auto"/>
          <w:kern w:val="0"/>
          <w:highlight w:val="none"/>
        </w:rPr>
        <w:t>确定的参数和数据的技术内容和确定方法</w:t>
      </w:r>
      <w:r>
        <w:rPr>
          <w:rFonts w:hint="eastAsia" w:cs="Times New Roman"/>
          <w:color w:val="auto"/>
          <w:kern w:val="0"/>
          <w:highlight w:val="none"/>
        </w:rPr>
        <w:t>见表</w:t>
      </w:r>
      <w:r>
        <w:rPr>
          <w:rFonts w:hint="eastAsia" w:cs="Times New Roman"/>
          <w:color w:val="auto"/>
          <w:kern w:val="0"/>
          <w:highlight w:val="none"/>
          <w:lang w:val="en-US" w:eastAsia="zh-CN"/>
        </w:rPr>
        <w:t>4</w:t>
      </w:r>
      <w:r>
        <w:rPr>
          <w:rFonts w:hint="eastAsia" w:cs="Times New Roman"/>
          <w:color w:val="auto"/>
          <w:kern w:val="0"/>
          <w:highlight w:val="none"/>
        </w:rPr>
        <w:t>。</w:t>
      </w:r>
    </w:p>
    <w:p w14:paraId="1D00CF96">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eastAsia="黑体" w:cs="Times New Roman"/>
          <w:color w:val="auto"/>
          <w:highlight w:val="none"/>
          <w:lang w:val="en-US" w:eastAsia="zh-CN"/>
        </w:rPr>
      </w:pPr>
      <w:r>
        <w:rPr>
          <w:rFonts w:hint="eastAsia" w:eastAsia="黑体" w:cs="Times New Roman"/>
          <w:color w:val="auto"/>
          <w:highlight w:val="none"/>
          <w:lang w:eastAsia="zh-CN"/>
        </w:rPr>
        <w:t>表</w:t>
      </w:r>
      <w:r>
        <w:rPr>
          <w:rFonts w:hint="eastAsia" w:eastAsia="黑体" w:cs="Times New Roman"/>
          <w:color w:val="auto"/>
          <w:highlight w:val="none"/>
          <w:lang w:val="en-US" w:eastAsia="zh-CN"/>
        </w:rPr>
        <w:t>4</w:t>
      </w:r>
      <w:r>
        <w:rPr>
          <w:rFonts w:hint="eastAsia" w:ascii="Times New Roman" w:hAnsi="Times New Roman" w:eastAsia="黑体" w:cs="Times New Roman"/>
          <w:color w:val="auto"/>
          <w:highlight w:val="none"/>
        </w:rPr>
        <w:t xml:space="preserve"> </w:t>
      </w:r>
      <m:oMath>
        <m:sSub>
          <m:sSubPr>
            <m:ctrlPr>
              <w:rPr>
                <w:rFonts w:hint="eastAsia" w:ascii="Cambria Math" w:hAnsi="Cambria Math" w:eastAsia="黑体" w:cs="Times New Roman"/>
                <w:i/>
                <w:iCs/>
                <w:color w:val="auto"/>
                <w:highlight w:val="none"/>
                <w:lang w:val="en-US" w:eastAsia="zh-Hans"/>
              </w:rPr>
            </m:ctrlPr>
          </m:sSubPr>
          <m:e>
            <m:r>
              <m:rPr/>
              <w:rPr>
                <w:rFonts w:hint="default" w:ascii="Cambria Math" w:hAnsi="Cambria Math" w:eastAsia="黑体" w:cs="Times New Roman"/>
                <w:color w:val="auto"/>
                <w:highlight w:val="none"/>
                <w:lang w:val="en-US" w:eastAsia="zh-CN"/>
              </w:rPr>
              <m:t>W</m:t>
            </m:r>
            <m:ctrlPr>
              <w:rPr>
                <w:rFonts w:hint="eastAsia" w:ascii="Cambria Math" w:hAnsi="Cambria Math" w:eastAsia="黑体" w:cs="Times New Roman"/>
                <w:i/>
                <w:iCs/>
                <w:color w:val="auto"/>
                <w:highlight w:val="none"/>
                <w:lang w:val="en-US" w:eastAsia="zh-Hans"/>
              </w:rPr>
            </m:ctrlPr>
          </m:e>
          <m:sub>
            <m:r>
              <m:rPr/>
              <w:rPr>
                <w:rFonts w:hint="default" w:ascii="Times New Roman" w:hAnsi="Times New Roman" w:eastAsia="黑体" w:cs="Times New Roman"/>
                <w:color w:val="auto"/>
                <w:highlight w:val="none"/>
                <w:lang w:val="en-US" w:eastAsia="zh-CN"/>
              </w:rPr>
              <m:t>i</m:t>
            </m:r>
            <m:ctrlPr>
              <w:rPr>
                <w:rFonts w:hint="eastAsia" w:ascii="Cambria Math" w:hAnsi="Cambria Math" w:eastAsia="黑体" w:cs="Times New Roman"/>
                <w:i/>
                <w:iCs/>
                <w:color w:val="auto"/>
                <w:highlight w:val="none"/>
                <w:lang w:val="en-US" w:eastAsia="zh-Hans"/>
              </w:rPr>
            </m:ctrlPr>
          </m:sub>
        </m:sSub>
      </m:oMath>
      <w:r>
        <w:rPr>
          <w:rFonts w:hint="eastAsia" w:ascii="Times New Roman" w:hAnsi="Times New Roman" w:eastAsia="黑体" w:cs="Times New Roman"/>
          <w:color w:val="auto"/>
          <w:highlight w:val="none"/>
          <w:lang w:val="en-US" w:eastAsia="zh-CN"/>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3A07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8204394">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cs="Times New Roman"/>
                <w:color w:val="auto"/>
                <w:kern w:val="0"/>
                <w:sz w:val="18"/>
                <w:szCs w:val="18"/>
                <w:highlight w:val="none"/>
                <w:lang w:eastAsia="zh-CN"/>
              </w:rPr>
              <w:t>参数/数据</w:t>
            </w:r>
          </w:p>
        </w:tc>
        <w:tc>
          <w:tcPr>
            <w:tcW w:w="4237" w:type="pct"/>
            <w:shd w:val="clear" w:color="auto" w:fill="auto"/>
            <w:vAlign w:val="center"/>
          </w:tcPr>
          <w:p w14:paraId="6B164FD5">
            <w:pPr>
              <w:widowControl w:val="0"/>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ascii="Cambria Math" w:hAnsi="Cambria Math" w:cs="Times New Roman"/>
                        <w:i/>
                        <w:iCs w:val="0"/>
                        <w:color w:val="auto"/>
                        <w:kern w:val="0"/>
                        <w:highlight w:val="none"/>
                        <w:lang w:eastAsia="zh-Hans"/>
                      </w:rPr>
                    </m:ctrlPr>
                  </m:sSubPr>
                  <m:e>
                    <m:r>
                      <m:rPr/>
                      <w:rPr>
                        <w:rFonts w:hint="default" w:ascii="Cambria Math" w:hAnsi="Cambria Math" w:cs="Times New Roman"/>
                        <w:color w:val="auto"/>
                        <w:kern w:val="0"/>
                        <w:highlight w:val="none"/>
                        <w:lang w:val="en-US" w:eastAsia="zh-CN"/>
                      </w:rPr>
                      <m:t>W</m:t>
                    </m:r>
                    <m:ctrlPr>
                      <w:rPr>
                        <w:rFonts w:ascii="Cambria Math" w:hAnsi="Cambria Math" w:cs="Times New Roman"/>
                        <w:i/>
                        <w:iCs w:val="0"/>
                        <w:color w:val="auto"/>
                        <w:kern w:val="0"/>
                        <w:highlight w:val="none"/>
                        <w:lang w:eastAsia="zh-Hans"/>
                      </w:rPr>
                    </m:ctrlPr>
                  </m:e>
                  <m:sub>
                    <m:r>
                      <m:rPr/>
                      <w:rPr>
                        <w:rFonts w:hint="default" w:ascii="Cambria Math" w:hAnsi="Cambria Math" w:cs="Times New Roman"/>
                        <w:color w:val="auto"/>
                        <w:kern w:val="0"/>
                        <w:highlight w:val="none"/>
                        <w:lang w:val="en-US" w:eastAsia="zh-CN"/>
                      </w:rPr>
                      <m:t>i</m:t>
                    </m:r>
                    <m:ctrlPr>
                      <w:rPr>
                        <w:rFonts w:ascii="Cambria Math" w:hAnsi="Cambria Math" w:cs="Times New Roman"/>
                        <w:i/>
                        <w:iCs w:val="0"/>
                        <w:color w:val="auto"/>
                        <w:kern w:val="0"/>
                        <w:highlight w:val="none"/>
                        <w:lang w:eastAsia="zh-Hans"/>
                      </w:rPr>
                    </m:ctrlPr>
                  </m:sub>
                </m:sSub>
              </m:oMath>
            </m:oMathPara>
          </w:p>
        </w:tc>
      </w:tr>
      <w:tr w14:paraId="6D5A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29243F7D">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14:paraId="350AC2F1">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rPr>
              <w:t>）</w:t>
            </w:r>
            <w:r>
              <w:rPr>
                <w:rFonts w:hint="eastAsia" w:cs="Times New Roman"/>
                <w:color w:val="auto"/>
                <w:kern w:val="0"/>
                <w:sz w:val="18"/>
                <w:szCs w:val="18"/>
                <w:highlight w:val="none"/>
                <w:lang w:eastAsia="zh-CN"/>
              </w:rPr>
              <w:t>（</w:t>
            </w:r>
            <w:r>
              <w:rPr>
                <w:rFonts w:hint="eastAsia" w:cs="Times New Roman"/>
                <w:color w:val="auto"/>
                <w:kern w:val="0"/>
                <w:sz w:val="18"/>
                <w:szCs w:val="18"/>
                <w:highlight w:val="none"/>
                <w:lang w:val="en-US" w:eastAsia="zh-CN"/>
              </w:rPr>
              <w:t>2</w:t>
            </w:r>
            <w:r>
              <w:rPr>
                <w:rFonts w:hint="eastAsia" w:cs="Times New Roman"/>
                <w:color w:val="auto"/>
                <w:kern w:val="0"/>
                <w:sz w:val="18"/>
                <w:szCs w:val="18"/>
                <w:highlight w:val="none"/>
                <w:lang w:eastAsia="zh-CN"/>
              </w:rPr>
              <w:t>）</w:t>
            </w:r>
          </w:p>
        </w:tc>
      </w:tr>
      <w:tr w14:paraId="1D77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337D2BCB">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14:paraId="62B0AC44">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w:t>
            </w:r>
          </w:p>
        </w:tc>
      </w:tr>
      <w:tr w14:paraId="3532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623081CD">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14:paraId="617FBDB3">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废弃产品</w:t>
            </w:r>
            <w:r>
              <w:rPr>
                <w:rFonts w:hint="eastAsia" w:ascii="Times New Roman" w:hAnsi="Times New Roman" w:cs="Times New Roman"/>
                <w:color w:val="auto"/>
                <w:kern w:val="0"/>
                <w:sz w:val="18"/>
                <w:szCs w:val="18"/>
                <w:highlight w:val="none"/>
                <w:lang w:val="en-US" w:eastAsia="zh-CN"/>
              </w:rPr>
              <w:t>i的重量</w:t>
            </w:r>
          </w:p>
        </w:tc>
      </w:tr>
      <w:tr w14:paraId="0FD9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51C44874">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14:paraId="78F4CC1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按照以下优先次序选取来源：</w:t>
            </w:r>
          </w:p>
          <w:p w14:paraId="2CBB26C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lang w:val="en-US" w:eastAsia="zh-CN"/>
              </w:rPr>
              <w:t>数据来源平台</w:t>
            </w:r>
            <w:r>
              <w:rPr>
                <w:rFonts w:hint="eastAsia" w:ascii="Times New Roman" w:hAnsi="Times New Roman" w:cs="Times New Roman"/>
                <w:kern w:val="0"/>
                <w:sz w:val="18"/>
                <w:szCs w:val="18"/>
                <w:highlight w:val="none"/>
                <w:lang w:val="en-US" w:eastAsia="zh-CN"/>
              </w:rPr>
              <w:t>的计量数据或自动化系统数据；</w:t>
            </w:r>
          </w:p>
          <w:p w14:paraId="723F3F4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.其他可核实的数据来源</w:t>
            </w:r>
            <w:r>
              <w:rPr>
                <w:rFonts w:hint="eastAsia" w:cs="Times New Roman"/>
                <w:kern w:val="0"/>
                <w:sz w:val="18"/>
                <w:szCs w:val="18"/>
                <w:highlight w:val="none"/>
                <w:lang w:val="en-US" w:eastAsia="zh-CN"/>
              </w:rPr>
              <w:t>。</w:t>
            </w:r>
          </w:p>
        </w:tc>
      </w:tr>
      <w:tr w14:paraId="52E4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4C0FE26">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14:paraId="4E7C1084">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14:paraId="4595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0DF20B82">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14:paraId="5AB95D4E">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cs="Times New Roman"/>
                <w:color w:val="auto"/>
                <w:kern w:val="0"/>
                <w:sz w:val="18"/>
                <w:szCs w:val="18"/>
                <w:highlight w:val="none"/>
                <w:lang w:val="en-US" w:eastAsia="zh-CN"/>
              </w:rPr>
              <w:t>减排量</w:t>
            </w:r>
            <w:r>
              <w:rPr>
                <w:rFonts w:hint="eastAsia" w:cs="Times New Roman"/>
                <w:i/>
                <w:iCs/>
                <w:color w:val="auto"/>
                <w:kern w:val="0"/>
                <w:sz w:val="18"/>
                <w:szCs w:val="18"/>
                <w:highlight w:val="none"/>
                <w:lang w:val="en-US" w:eastAsia="zh-CN"/>
              </w:rPr>
              <w:t>ER</w:t>
            </w:r>
          </w:p>
        </w:tc>
      </w:tr>
      <w:tr w14:paraId="5CD5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14:paraId="1CCF8B79">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14:paraId="37A24F5F">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14:paraId="0273BDBD">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84" w:name="_Toc24149"/>
      <w:r>
        <w:rPr>
          <w:rFonts w:hint="eastAsia"/>
          <w:bCs w:val="0"/>
          <w:iCs/>
          <w:color w:val="000000" w:themeColor="text1"/>
          <w:highlight w:val="none"/>
          <w:lang w:val="en-US" w:eastAsia="zh-CN"/>
          <w14:textFill>
            <w14:solidFill>
              <w14:schemeClr w14:val="tx1"/>
            </w14:solidFill>
          </w14:textFill>
        </w:rPr>
        <w:t xml:space="preserve">7.3 </w:t>
      </w:r>
      <w:r>
        <w:rPr>
          <w:rFonts w:hint="eastAsia"/>
          <w:bCs w:val="0"/>
          <w:iCs/>
          <w:color w:val="000000" w:themeColor="text1"/>
          <w:highlight w:val="none"/>
          <w:lang w:val="en-US" w:eastAsia="zh"/>
          <w14:textFill>
            <w14:solidFill>
              <w14:schemeClr w14:val="tx1"/>
            </w14:solidFill>
          </w14:textFill>
        </w:rPr>
        <w:t>实施及监测的数据管理要求</w:t>
      </w:r>
      <w:bookmarkEnd w:id="82"/>
      <w:bookmarkEnd w:id="83"/>
      <w:bookmarkEnd w:id="84"/>
    </w:p>
    <w:p w14:paraId="34DC2EC6">
      <w:pPr>
        <w:pStyle w:val="24"/>
        <w:ind w:firstLine="420"/>
        <w:rPr>
          <w:rFonts w:ascii="Times New Roman" w:cs="Times New Roman"/>
          <w:color w:val="auto"/>
          <w:highlight w:val="none"/>
        </w:rPr>
      </w:pPr>
      <w:bookmarkStart w:id="85" w:name="_Toc164770410"/>
      <w:bookmarkStart w:id="86" w:name="_Toc8682"/>
      <w:bookmarkStart w:id="87" w:name="OLE_LINK10"/>
      <w:bookmarkStart w:id="88" w:name="_Toc23346"/>
      <w:bookmarkStart w:id="89" w:name="_Toc175936574"/>
      <w:bookmarkStart w:id="90" w:name="_Toc17397"/>
      <w:bookmarkStart w:id="91" w:name="_Toc172906190"/>
      <w:r>
        <w:rPr>
          <w:rFonts w:hint="eastAsia" w:ascii="Times New Roman" w:cs="Times New Roman"/>
          <w:color w:val="auto"/>
          <w:highlight w:val="none"/>
          <w:lang w:eastAsia="zh-CN"/>
        </w:rPr>
        <w:t>（</w:t>
      </w:r>
      <w:r>
        <w:rPr>
          <w:rFonts w:hint="eastAsia" w:ascii="Times New Roman" w:cs="Times New Roman"/>
          <w:color w:val="auto"/>
          <w:highlight w:val="none"/>
        </w:rPr>
        <w:t>1）与本方法学对应的碳普惠行为</w:t>
      </w:r>
      <w:r>
        <w:rPr>
          <w:rFonts w:hint="eastAsia" w:ascii="Times New Roman" w:cs="Times New Roman"/>
          <w:color w:val="auto"/>
          <w:highlight w:val="none"/>
          <w:lang w:val="en-US" w:eastAsia="zh-CN"/>
        </w:rPr>
        <w:t>的</w:t>
      </w:r>
      <w:r>
        <w:rPr>
          <w:rFonts w:hint="eastAsia" w:ascii="Times New Roman" w:cs="Times New Roman"/>
          <w:color w:val="auto"/>
          <w:highlight w:val="none"/>
          <w:lang w:eastAsia="zh-CN"/>
        </w:rPr>
        <w:t>数据来源平台</w:t>
      </w:r>
      <w:r>
        <w:rPr>
          <w:rFonts w:hint="eastAsia" w:ascii="Times New Roman" w:cs="Times New Roman"/>
          <w:color w:val="auto"/>
          <w:highlight w:val="none"/>
        </w:rPr>
        <w:t>应当遵守相关法律法规，保护</w:t>
      </w:r>
      <w:r>
        <w:rPr>
          <w:rFonts w:hint="eastAsia" w:ascii="Times New Roman" w:cs="Times New Roman"/>
          <w:color w:val="auto"/>
          <w:highlight w:val="none"/>
          <w:lang w:val="en-US" w:eastAsia="zh-CN"/>
        </w:rPr>
        <w:t>用户</w:t>
      </w:r>
      <w:r>
        <w:rPr>
          <w:rFonts w:hint="eastAsia" w:ascii="Times New Roman" w:cs="Times New Roman"/>
          <w:color w:val="auto"/>
          <w:highlight w:val="none"/>
        </w:rPr>
        <w:t>隐私，在用户授权允许的前提下，合法收集、使用、加工</w:t>
      </w:r>
      <w:r>
        <w:rPr>
          <w:rFonts w:hint="eastAsia" w:ascii="Times New Roman" w:cs="Times New Roman"/>
          <w:color w:val="auto"/>
          <w:highlight w:val="none"/>
          <w:lang w:val="en-US" w:eastAsia="zh-CN"/>
        </w:rPr>
        <w:t>和</w:t>
      </w:r>
      <w:r>
        <w:rPr>
          <w:rFonts w:hint="eastAsia" w:ascii="Times New Roman" w:cs="Times New Roman"/>
          <w:color w:val="auto"/>
          <w:highlight w:val="none"/>
        </w:rPr>
        <w:t>传输用户的碳普惠行为数据</w:t>
      </w:r>
      <w:r>
        <w:rPr>
          <w:rFonts w:hint="eastAsia" w:ascii="Times New Roman" w:cs="Times New Roman"/>
          <w:color w:val="auto"/>
          <w:highlight w:val="none"/>
          <w:lang w:eastAsia="zh-CN"/>
        </w:rPr>
        <w:t>，</w:t>
      </w:r>
      <w:r>
        <w:rPr>
          <w:rFonts w:hint="eastAsia" w:ascii="Times New Roman" w:cs="Times New Roman"/>
          <w:color w:val="auto"/>
          <w:highlight w:val="none"/>
        </w:rPr>
        <w:t>并切实保护用户隐私与信息安全。</w:t>
      </w:r>
    </w:p>
    <w:p w14:paraId="374541E0">
      <w:pPr>
        <w:pStyle w:val="24"/>
        <w:ind w:firstLine="420"/>
        <w:rPr>
          <w:rFonts w:ascii="Times New Roman" w:cs="Times New Roman"/>
          <w:color w:val="auto"/>
          <w:highlight w:val="none"/>
        </w:rPr>
      </w:pPr>
      <w:r>
        <w:rPr>
          <w:rFonts w:hint="eastAsia" w:ascii="Times New Roman" w:cs="Times New Roman"/>
          <w:color w:val="auto"/>
          <w:highlight w:val="none"/>
          <w:lang w:eastAsia="zh-CN"/>
        </w:rPr>
        <w:t>（</w:t>
      </w:r>
      <w:r>
        <w:rPr>
          <w:rFonts w:hint="eastAsia" w:ascii="Times New Roman" w:cs="Times New Roman"/>
          <w:color w:val="auto"/>
          <w:highlight w:val="none"/>
        </w:rPr>
        <w:t>2）碳普惠行为</w:t>
      </w:r>
      <w:r>
        <w:rPr>
          <w:rFonts w:hint="eastAsia" w:ascii="Times New Roman" w:cs="Times New Roman"/>
          <w:color w:val="auto"/>
          <w:highlight w:val="none"/>
          <w:lang w:val="en-US" w:eastAsia="zh-CN"/>
        </w:rPr>
        <w:t>的</w:t>
      </w:r>
      <w:r>
        <w:rPr>
          <w:rFonts w:hint="eastAsia" w:ascii="Times New Roman" w:cs="Times New Roman"/>
          <w:color w:val="auto"/>
          <w:highlight w:val="none"/>
          <w:lang w:eastAsia="zh-CN"/>
        </w:rPr>
        <w:t>数据来源平台</w:t>
      </w:r>
      <w:r>
        <w:rPr>
          <w:rFonts w:hint="eastAsia" w:ascii="Times New Roman" w:cs="Times New Roman"/>
          <w:color w:val="auto"/>
          <w:highlight w:val="none"/>
        </w:rPr>
        <w:t>应对碳普惠行为</w:t>
      </w:r>
      <w:r>
        <w:rPr>
          <w:rFonts w:hint="eastAsia" w:ascii="Times New Roman" w:cs="Times New Roman"/>
          <w:color w:val="auto"/>
          <w:highlight w:val="none"/>
          <w:lang w:val="en-US" w:eastAsia="zh-CN"/>
        </w:rPr>
        <w:t>数据</w:t>
      </w:r>
      <w:r>
        <w:rPr>
          <w:rFonts w:hint="eastAsia" w:ascii="Times New Roman" w:cs="Times New Roman"/>
          <w:color w:val="auto"/>
          <w:highlight w:val="none"/>
        </w:rPr>
        <w:t>分用户、分订单记录与储存，并确保数据具备真实</w:t>
      </w:r>
      <w:r>
        <w:rPr>
          <w:rFonts w:hint="eastAsia" w:ascii="Times New Roman" w:cs="Times New Roman"/>
          <w:color w:val="auto"/>
          <w:highlight w:val="none"/>
          <w:lang w:val="en-US" w:eastAsia="zh-CN"/>
        </w:rPr>
        <w:t>性</w:t>
      </w:r>
      <w:r>
        <w:rPr>
          <w:rFonts w:hint="eastAsia" w:ascii="Times New Roman" w:cs="Times New Roman"/>
          <w:color w:val="auto"/>
          <w:highlight w:val="none"/>
        </w:rPr>
        <w:t>、唯一</w:t>
      </w:r>
      <w:r>
        <w:rPr>
          <w:rFonts w:hint="eastAsia" w:ascii="Times New Roman" w:cs="Times New Roman"/>
          <w:color w:val="auto"/>
          <w:highlight w:val="none"/>
          <w:lang w:val="en-US" w:eastAsia="zh-CN"/>
        </w:rPr>
        <w:t>性</w:t>
      </w:r>
      <w:r>
        <w:rPr>
          <w:rFonts w:hint="eastAsia" w:ascii="Times New Roman" w:cs="Times New Roman"/>
          <w:color w:val="auto"/>
          <w:highlight w:val="none"/>
        </w:rPr>
        <w:t>、可追溯</w:t>
      </w:r>
      <w:r>
        <w:rPr>
          <w:rFonts w:hint="eastAsia" w:ascii="Times New Roman" w:cs="Times New Roman"/>
          <w:color w:val="auto"/>
          <w:highlight w:val="none"/>
          <w:lang w:val="en-US" w:eastAsia="zh-CN"/>
        </w:rPr>
        <w:t>性与</w:t>
      </w:r>
      <w:r>
        <w:rPr>
          <w:rFonts w:hint="eastAsia" w:ascii="Times New Roman" w:cs="Times New Roman"/>
          <w:color w:val="auto"/>
          <w:highlight w:val="none"/>
        </w:rPr>
        <w:t>不可篡改性。</w:t>
      </w:r>
    </w:p>
    <w:p w14:paraId="07891DC4">
      <w:pPr>
        <w:pStyle w:val="24"/>
        <w:ind w:firstLine="420"/>
        <w:rPr>
          <w:rFonts w:hint="eastAsia" w:ascii="Times New Roman" w:cs="Times New Roman"/>
          <w:color w:val="auto"/>
          <w:highlight w:val="none"/>
        </w:rPr>
      </w:pPr>
      <w:r>
        <w:rPr>
          <w:rFonts w:hint="eastAsia" w:ascii="Times New Roman" w:cs="Times New Roman"/>
          <w:color w:val="auto"/>
          <w:highlight w:val="none"/>
          <w:lang w:eastAsia="zh-CN"/>
        </w:rPr>
        <w:t>（</w:t>
      </w:r>
      <w:r>
        <w:rPr>
          <w:rFonts w:hint="eastAsia" w:ascii="Times New Roman" w:cs="Times New Roman"/>
          <w:color w:val="auto"/>
          <w:highlight w:val="none"/>
          <w:lang w:val="en-US" w:eastAsia="zh-CN"/>
        </w:rPr>
        <w:t>3</w:t>
      </w:r>
      <w:r>
        <w:rPr>
          <w:rFonts w:hint="eastAsia" w:ascii="Times New Roman" w:cs="Times New Roman"/>
          <w:color w:val="auto"/>
          <w:highlight w:val="none"/>
        </w:rPr>
        <w:t>）碳普惠行为</w:t>
      </w:r>
      <w:r>
        <w:rPr>
          <w:rFonts w:hint="eastAsia" w:ascii="Times New Roman" w:cs="Times New Roman"/>
          <w:color w:val="auto"/>
          <w:highlight w:val="none"/>
          <w:lang w:val="en-US" w:eastAsia="zh-CN"/>
        </w:rPr>
        <w:t>的</w:t>
      </w:r>
      <w:r>
        <w:rPr>
          <w:rFonts w:hint="eastAsia" w:ascii="Times New Roman" w:cs="Times New Roman"/>
          <w:color w:val="auto"/>
          <w:highlight w:val="none"/>
        </w:rPr>
        <w:t>数据来源平台应与碳普惠平台建立安全、稳定的标准化数据接口，确保</w:t>
      </w:r>
      <w:r>
        <w:rPr>
          <w:rFonts w:hint="eastAsia" w:ascii="Times New Roman" w:cs="Times New Roman"/>
          <w:color w:val="auto"/>
          <w:highlight w:val="none"/>
          <w:lang w:val="en-US" w:eastAsia="zh-CN"/>
        </w:rPr>
        <w:t>碳普惠</w:t>
      </w:r>
      <w:r>
        <w:rPr>
          <w:rFonts w:hint="eastAsia" w:ascii="Times New Roman" w:cs="Times New Roman"/>
          <w:color w:val="auto"/>
          <w:highlight w:val="none"/>
        </w:rPr>
        <w:t>行为数据能够准确、完整</w:t>
      </w:r>
      <w:r>
        <w:rPr>
          <w:rFonts w:hint="eastAsia" w:ascii="Times New Roman" w:cs="Times New Roman"/>
          <w:color w:val="auto"/>
          <w:highlight w:val="none"/>
          <w:lang w:val="en-US" w:eastAsia="zh-CN"/>
        </w:rPr>
        <w:t>和</w:t>
      </w:r>
      <w:r>
        <w:rPr>
          <w:rFonts w:hint="eastAsia" w:ascii="Times New Roman" w:cs="Times New Roman"/>
          <w:color w:val="auto"/>
          <w:highlight w:val="none"/>
        </w:rPr>
        <w:t>及时地同步</w:t>
      </w:r>
      <w:r>
        <w:rPr>
          <w:rFonts w:hint="eastAsia" w:ascii="Times New Roman" w:cs="Times New Roman"/>
          <w:color w:val="000000" w:themeColor="text1"/>
          <w:highlight w:val="none"/>
          <w14:textFill>
            <w14:solidFill>
              <w14:schemeClr w14:val="tx1"/>
            </w14:solidFill>
          </w14:textFill>
        </w:rPr>
        <w:t>至碳普惠平台</w:t>
      </w:r>
      <w:r>
        <w:rPr>
          <w:rFonts w:hint="eastAsia" w:ascii="Times New Roman" w:cs="Times New Roman"/>
          <w:color w:val="auto"/>
          <w:highlight w:val="none"/>
        </w:rPr>
        <w:t>。双方平台需共同制定并执行数据校验规则，以保障数据在传输与核算过程中的一致性。</w:t>
      </w:r>
    </w:p>
    <w:p w14:paraId="54BDD9CB">
      <w:pPr>
        <w:pStyle w:val="24"/>
        <w:ind w:firstLine="420"/>
        <w:rPr>
          <w:rFonts w:hint="eastAsia" w:ascii="Times New Roman" w:cs="Times New Roman"/>
          <w:color w:val="auto"/>
          <w:highlight w:val="none"/>
          <w:lang w:eastAsia="zh"/>
        </w:rPr>
      </w:pPr>
      <w:r>
        <w:rPr>
          <w:rFonts w:hint="eastAsia" w:ascii="Times New Roman" w:cs="Times New Roman"/>
          <w:color w:val="auto"/>
          <w:highlight w:val="none"/>
          <w:lang w:eastAsia="zh-CN"/>
        </w:rPr>
        <w:t>（</w:t>
      </w:r>
      <w:r>
        <w:rPr>
          <w:rFonts w:hint="eastAsia" w:ascii="Times New Roman" w:cs="Times New Roman"/>
          <w:color w:val="auto"/>
          <w:highlight w:val="none"/>
          <w:lang w:val="en-US" w:eastAsia="zh-CN"/>
        </w:rPr>
        <w:t>4</w:t>
      </w:r>
      <w:r>
        <w:rPr>
          <w:rFonts w:hint="eastAsia" w:ascii="Times New Roman" w:cs="Times New Roman"/>
          <w:color w:val="auto"/>
          <w:highlight w:val="none"/>
          <w:lang w:eastAsia="zh-CN"/>
        </w:rPr>
        <w:t>）</w:t>
      </w:r>
      <w:r>
        <w:rPr>
          <w:rFonts w:hint="eastAsia" w:ascii="Times New Roman" w:cs="Times New Roman"/>
          <w:color w:val="auto"/>
          <w:highlight w:val="none"/>
        </w:rPr>
        <w:t>碳普惠行为</w:t>
      </w:r>
      <w:r>
        <w:rPr>
          <w:rFonts w:hint="eastAsia" w:ascii="Times New Roman" w:cs="Times New Roman"/>
          <w:color w:val="auto"/>
          <w:highlight w:val="none"/>
          <w:lang w:val="en-US" w:eastAsia="zh-CN"/>
        </w:rPr>
        <w:t>的</w:t>
      </w:r>
      <w:r>
        <w:rPr>
          <w:rFonts w:hint="eastAsia" w:ascii="Times New Roman" w:cs="Times New Roman"/>
          <w:color w:val="auto"/>
          <w:highlight w:val="none"/>
          <w:lang w:eastAsia="zh-CN"/>
        </w:rPr>
        <w:t>数据来源平台</w:t>
      </w:r>
      <w:r>
        <w:rPr>
          <w:rFonts w:hint="eastAsia" w:ascii="Times New Roman" w:cs="Times New Roman"/>
          <w:color w:val="auto"/>
          <w:highlight w:val="none"/>
        </w:rPr>
        <w:t>及碳普惠平台应对所有监测数据进行存档、备份，保存期限自减排量</w:t>
      </w:r>
      <w:r>
        <w:rPr>
          <w:rFonts w:hint="eastAsia" w:ascii="Times New Roman" w:cs="Times New Roman"/>
          <w:color w:val="auto"/>
          <w:highlight w:val="none"/>
          <w:lang w:eastAsia="zh-CN"/>
        </w:rPr>
        <w:t>核算</w:t>
      </w:r>
      <w:r>
        <w:rPr>
          <w:rFonts w:hint="eastAsia" w:ascii="Times New Roman" w:cs="Times New Roman"/>
          <w:color w:val="auto"/>
          <w:highlight w:val="none"/>
        </w:rPr>
        <w:t>之日起不少于3年。除法律、行政法规等另有规定外，未经用户同意，</w:t>
      </w:r>
      <w:r>
        <w:rPr>
          <w:rFonts w:hint="eastAsia" w:ascii="Times New Roman" w:cs="Times New Roman"/>
          <w:color w:val="auto"/>
          <w:highlight w:val="none"/>
          <w:lang w:val="en-US" w:eastAsia="zh-CN"/>
        </w:rPr>
        <w:t>任何一方</w:t>
      </w:r>
      <w:r>
        <w:rPr>
          <w:rFonts w:hint="eastAsia" w:ascii="Times New Roman" w:cs="Times New Roman"/>
          <w:color w:val="auto"/>
          <w:highlight w:val="none"/>
        </w:rPr>
        <w:t>不得将数据提供给第三方</w:t>
      </w:r>
      <w:r>
        <w:rPr>
          <w:rFonts w:hint="eastAsia" w:ascii="Times New Roman" w:cs="Times New Roman"/>
          <w:color w:val="auto"/>
          <w:highlight w:val="none"/>
          <w:lang w:eastAsia="zh"/>
        </w:rPr>
        <w:t>。</w:t>
      </w:r>
    </w:p>
    <w:bookmarkEnd w:id="85"/>
    <w:bookmarkEnd w:id="86"/>
    <w:bookmarkEnd w:id="87"/>
    <w:bookmarkEnd w:id="88"/>
    <w:bookmarkEnd w:id="89"/>
    <w:p w14:paraId="65476B62">
      <w:pPr>
        <w:pStyle w:val="3"/>
        <w:spacing w:before="312" w:after="312"/>
        <w:rPr>
          <w:rFonts w:hint="eastAsia"/>
          <w:color w:val="auto"/>
          <w:highlight w:val="none"/>
        </w:rPr>
      </w:pPr>
      <w:bookmarkStart w:id="92" w:name="_Toc13702"/>
      <w:r>
        <w:rPr>
          <w:rFonts w:hint="eastAsia"/>
          <w:color w:val="auto"/>
          <w:highlight w:val="none"/>
        </w:rPr>
        <w:t>8 方法学</w:t>
      </w:r>
      <w:bookmarkEnd w:id="90"/>
      <w:r>
        <w:rPr>
          <w:rFonts w:hint="eastAsia"/>
          <w:color w:val="auto"/>
          <w:highlight w:val="none"/>
        </w:rPr>
        <w:t>编制单位</w:t>
      </w:r>
      <w:bookmarkEnd w:id="91"/>
      <w:bookmarkEnd w:id="92"/>
    </w:p>
    <w:p w14:paraId="633D37E9">
      <w:pPr>
        <w:pStyle w:val="24"/>
        <w:ind w:firstLine="420"/>
        <w:rPr>
          <w:rFonts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14:paraId="0C73A585">
      <w:pPr>
        <w:pStyle w:val="3"/>
        <w:spacing w:before="312" w:after="312"/>
        <w:rPr>
          <w:rFonts w:hint="eastAsia" w:cs="Times New Roman"/>
          <w:color w:val="auto"/>
          <w:highlight w:val="none"/>
        </w:rPr>
      </w:pPr>
      <w:bookmarkStart w:id="93" w:name="_Toc164770424"/>
      <w:bookmarkStart w:id="94" w:name="_Toc24025"/>
      <w:bookmarkStart w:id="95" w:name="_Toc172906192"/>
      <w:bookmarkStart w:id="96" w:name="_Toc14775"/>
      <w:r>
        <w:rPr>
          <w:rFonts w:hint="eastAsia" w:cs="Times New Roman"/>
          <w:color w:val="auto"/>
          <w:highlight w:val="none"/>
        </w:rPr>
        <w:t>附录</w:t>
      </w:r>
      <w:bookmarkEnd w:id="93"/>
      <w:bookmarkEnd w:id="94"/>
      <w:bookmarkEnd w:id="95"/>
      <w:bookmarkEnd w:id="96"/>
    </w:p>
    <w:p w14:paraId="36CA8563">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eastAsia="黑体" w:cs="Times New Roman"/>
          <w:color w:val="auto"/>
          <w:highlight w:val="none"/>
          <w:lang w:val="en-US" w:eastAsia="zh-CN"/>
        </w:rPr>
      </w:pPr>
      <w:r>
        <w:rPr>
          <w:rFonts w:hint="eastAsia" w:eastAsia="黑体" w:cs="Times New Roman"/>
          <w:color w:val="auto"/>
          <w:highlight w:val="none"/>
          <w:lang w:val="en-US" w:eastAsia="zh-CN"/>
        </w:rPr>
        <w:t>附表1</w:t>
      </w:r>
      <w:r>
        <w:rPr>
          <w:rFonts w:hint="eastAsia" w:ascii="Times New Roman" w:hAnsi="Times New Roman" w:eastAsia="黑体" w:cs="Times New Roman"/>
          <w:color w:val="auto"/>
          <w:highlight w:val="none"/>
          <w:lang w:val="en-US" w:eastAsia="zh-CN"/>
        </w:rPr>
        <w:t xml:space="preserve"> </w:t>
      </w:r>
      <w:r>
        <w:rPr>
          <w:rFonts w:hint="eastAsia" w:eastAsia="黑体" w:cs="Times New Roman"/>
          <w:color w:val="auto"/>
          <w:highlight w:val="none"/>
          <w:lang w:val="en-US" w:eastAsia="zh-CN"/>
        </w:rPr>
        <w:t>废弃产品碳排放因子缺省值</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186"/>
        <w:gridCol w:w="2890"/>
        <w:gridCol w:w="1774"/>
        <w:gridCol w:w="2"/>
        <w:gridCol w:w="1784"/>
      </w:tblGrid>
      <w:tr w14:paraId="6A48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19" w:type="pct"/>
            <w:vMerge w:val="restart"/>
            <w:vAlign w:val="center"/>
          </w:tcPr>
          <w:p w14:paraId="634A303E">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序号</w:t>
            </w:r>
          </w:p>
        </w:tc>
        <w:tc>
          <w:tcPr>
            <w:tcW w:w="696" w:type="pct"/>
            <w:vMerge w:val="restart"/>
            <w:vAlign w:val="center"/>
          </w:tcPr>
          <w:p w14:paraId="47BCA746">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品类</w:t>
            </w:r>
          </w:p>
        </w:tc>
        <w:tc>
          <w:tcPr>
            <w:tcW w:w="1696" w:type="pct"/>
            <w:vAlign w:val="center"/>
          </w:tcPr>
          <w:p w14:paraId="75621868">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子类</w:t>
            </w:r>
          </w:p>
        </w:tc>
        <w:tc>
          <w:tcPr>
            <w:tcW w:w="1042" w:type="pct"/>
            <w:gridSpan w:val="2"/>
            <w:vMerge w:val="restart"/>
            <w:vAlign w:val="center"/>
          </w:tcPr>
          <w:p w14:paraId="322697BE">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基准线情景碳排放因子（kgCO</w:t>
            </w:r>
            <w:r>
              <w:rPr>
                <w:rFonts w:hint="eastAsia" w:ascii="Times New Roman" w:hAnsi="Times New Roman" w:cs="Times New Roman"/>
                <w:b/>
                <w:bCs/>
                <w:color w:val="auto"/>
                <w:kern w:val="0"/>
                <w:sz w:val="18"/>
                <w:szCs w:val="18"/>
                <w:highlight w:val="none"/>
                <w:vertAlign w:val="subscript"/>
                <w:lang w:val="en-US" w:eastAsia="zh-CN"/>
              </w:rPr>
              <w:t>2</w:t>
            </w:r>
            <w:r>
              <w:rPr>
                <w:rFonts w:hint="eastAsia" w:ascii="Times New Roman" w:hAnsi="Times New Roman" w:cs="Times New Roman"/>
                <w:b/>
                <w:bCs/>
                <w:color w:val="auto"/>
                <w:kern w:val="0"/>
                <w:sz w:val="18"/>
                <w:szCs w:val="18"/>
                <w:highlight w:val="none"/>
                <w:lang w:val="en-US" w:eastAsia="zh-CN"/>
              </w:rPr>
              <w:t>/kg）</w:t>
            </w:r>
          </w:p>
        </w:tc>
        <w:tc>
          <w:tcPr>
            <w:tcW w:w="1045" w:type="pct"/>
            <w:vMerge w:val="restart"/>
            <w:vAlign w:val="center"/>
          </w:tcPr>
          <w:p w14:paraId="402D9A93">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碳普惠情景碳排放因子（kgCO</w:t>
            </w:r>
            <w:r>
              <w:rPr>
                <w:rFonts w:hint="eastAsia" w:ascii="Times New Roman" w:hAnsi="Times New Roman" w:cs="Times New Roman"/>
                <w:b/>
                <w:bCs/>
                <w:color w:val="auto"/>
                <w:kern w:val="0"/>
                <w:sz w:val="18"/>
                <w:szCs w:val="18"/>
                <w:highlight w:val="none"/>
                <w:vertAlign w:val="subscript"/>
                <w:lang w:val="en-US" w:eastAsia="zh-CN"/>
              </w:rPr>
              <w:t>2</w:t>
            </w:r>
            <w:r>
              <w:rPr>
                <w:rFonts w:hint="eastAsia" w:ascii="Times New Roman" w:hAnsi="Times New Roman" w:cs="Times New Roman"/>
                <w:b/>
                <w:bCs/>
                <w:color w:val="auto"/>
                <w:kern w:val="0"/>
                <w:sz w:val="18"/>
                <w:szCs w:val="18"/>
                <w:highlight w:val="none"/>
                <w:lang w:val="en-US" w:eastAsia="zh-CN"/>
              </w:rPr>
              <w:t>/kg）</w:t>
            </w:r>
          </w:p>
        </w:tc>
      </w:tr>
      <w:tr w14:paraId="0096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9929D64">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w:t>
            </w:r>
          </w:p>
        </w:tc>
        <w:tc>
          <w:tcPr>
            <w:tcW w:w="696" w:type="pct"/>
            <w:vMerge w:val="restart"/>
            <w:vAlign w:val="center"/>
          </w:tcPr>
          <w:p w14:paraId="5EACCB4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纸类</w:t>
            </w:r>
          </w:p>
        </w:tc>
        <w:tc>
          <w:tcPr>
            <w:tcW w:w="1696" w:type="pct"/>
            <w:vAlign w:val="center"/>
          </w:tcPr>
          <w:p w14:paraId="5D34472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瓦楞纸</w:t>
            </w:r>
          </w:p>
        </w:tc>
        <w:tc>
          <w:tcPr>
            <w:tcW w:w="1041" w:type="pct"/>
            <w:vAlign w:val="center"/>
          </w:tcPr>
          <w:p w14:paraId="40E38DB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1.227</w:t>
            </w:r>
          </w:p>
        </w:tc>
        <w:tc>
          <w:tcPr>
            <w:tcW w:w="1047" w:type="pct"/>
            <w:gridSpan w:val="2"/>
            <w:vAlign w:val="center"/>
          </w:tcPr>
          <w:p w14:paraId="1DB1FC29">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1.16</w:t>
            </w:r>
          </w:p>
        </w:tc>
      </w:tr>
      <w:tr w14:paraId="7D85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ED9DB1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696" w:type="pct"/>
            <w:vMerge w:val="continue"/>
            <w:vAlign w:val="center"/>
          </w:tcPr>
          <w:p w14:paraId="23DA667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1696" w:type="pct"/>
            <w:vAlign w:val="center"/>
          </w:tcPr>
          <w:p w14:paraId="570B4BE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胶板</w:t>
            </w:r>
            <w:r>
              <w:rPr>
                <w:rFonts w:hint="eastAsia" w:ascii="Times New Roman" w:hAnsi="Times New Roman" w:cs="Times New Roman"/>
                <w:color w:val="auto"/>
                <w:kern w:val="0"/>
                <w:sz w:val="18"/>
                <w:szCs w:val="18"/>
                <w:highlight w:val="none"/>
                <w:lang w:val="en-US" w:eastAsia="zh-CN"/>
              </w:rPr>
              <w:t>印刷纸</w:t>
            </w:r>
          </w:p>
        </w:tc>
        <w:tc>
          <w:tcPr>
            <w:tcW w:w="1041" w:type="pct"/>
            <w:vAlign w:val="center"/>
          </w:tcPr>
          <w:p w14:paraId="74729D3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2.694</w:t>
            </w:r>
          </w:p>
        </w:tc>
        <w:tc>
          <w:tcPr>
            <w:tcW w:w="1047" w:type="pct"/>
            <w:gridSpan w:val="2"/>
            <w:vAlign w:val="center"/>
          </w:tcPr>
          <w:p w14:paraId="4A5C21A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1.87</w:t>
            </w:r>
          </w:p>
        </w:tc>
      </w:tr>
      <w:tr w14:paraId="02B2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2286EEC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w:t>
            </w:r>
          </w:p>
        </w:tc>
        <w:tc>
          <w:tcPr>
            <w:tcW w:w="696" w:type="pct"/>
            <w:vMerge w:val="restart"/>
            <w:vAlign w:val="center"/>
          </w:tcPr>
          <w:p w14:paraId="6B7C74B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塑料</w:t>
            </w:r>
          </w:p>
        </w:tc>
        <w:tc>
          <w:tcPr>
            <w:tcW w:w="1696" w:type="pct"/>
            <w:vAlign w:val="center"/>
          </w:tcPr>
          <w:p w14:paraId="5DD9E5F8">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聚酯类塑料（PET）</w:t>
            </w:r>
          </w:p>
        </w:tc>
        <w:tc>
          <w:tcPr>
            <w:tcW w:w="1041" w:type="pct"/>
            <w:vAlign w:val="center"/>
          </w:tcPr>
          <w:p w14:paraId="30C0CA66">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4.032</w:t>
            </w:r>
          </w:p>
        </w:tc>
        <w:tc>
          <w:tcPr>
            <w:tcW w:w="1047" w:type="pct"/>
            <w:gridSpan w:val="2"/>
            <w:vAlign w:val="center"/>
          </w:tcPr>
          <w:p w14:paraId="0065747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3.11</w:t>
            </w:r>
          </w:p>
        </w:tc>
      </w:tr>
      <w:tr w14:paraId="3899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11BC13C">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696" w:type="pct"/>
            <w:vMerge w:val="continue"/>
            <w:vAlign w:val="center"/>
          </w:tcPr>
          <w:p w14:paraId="09BB5DA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1696" w:type="pct"/>
            <w:vAlign w:val="center"/>
          </w:tcPr>
          <w:p w14:paraId="4A680E5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聚乙烯塑料（PE）</w:t>
            </w:r>
          </w:p>
        </w:tc>
        <w:tc>
          <w:tcPr>
            <w:tcW w:w="1041" w:type="pct"/>
            <w:vAlign w:val="center"/>
          </w:tcPr>
          <w:p w14:paraId="2EF02B8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3.27</w:t>
            </w:r>
          </w:p>
        </w:tc>
        <w:tc>
          <w:tcPr>
            <w:tcW w:w="1047" w:type="pct"/>
            <w:gridSpan w:val="2"/>
            <w:vAlign w:val="center"/>
          </w:tcPr>
          <w:p w14:paraId="33A5A873">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1.98</w:t>
            </w:r>
          </w:p>
        </w:tc>
      </w:tr>
      <w:tr w14:paraId="5BE2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3A27818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696" w:type="pct"/>
            <w:vMerge w:val="continue"/>
            <w:vAlign w:val="center"/>
          </w:tcPr>
          <w:p w14:paraId="725FDE9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1696" w:type="pct"/>
            <w:vAlign w:val="center"/>
          </w:tcPr>
          <w:p w14:paraId="175A7C91">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聚丙烯塑料（PP）</w:t>
            </w:r>
          </w:p>
        </w:tc>
        <w:tc>
          <w:tcPr>
            <w:tcW w:w="1041" w:type="pct"/>
            <w:vAlign w:val="center"/>
          </w:tcPr>
          <w:p w14:paraId="5309BB4B">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3.104</w:t>
            </w:r>
          </w:p>
        </w:tc>
        <w:tc>
          <w:tcPr>
            <w:tcW w:w="1047" w:type="pct"/>
            <w:gridSpan w:val="2"/>
            <w:vAlign w:val="center"/>
          </w:tcPr>
          <w:p w14:paraId="4A3545F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2.04</w:t>
            </w:r>
          </w:p>
        </w:tc>
      </w:tr>
      <w:tr w14:paraId="6429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2F3E1D3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w:t>
            </w:r>
          </w:p>
        </w:tc>
        <w:tc>
          <w:tcPr>
            <w:tcW w:w="696" w:type="pct"/>
            <w:vAlign w:val="center"/>
          </w:tcPr>
          <w:p w14:paraId="4DE5BDF8">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玻璃</w:t>
            </w:r>
          </w:p>
        </w:tc>
        <w:tc>
          <w:tcPr>
            <w:tcW w:w="1696" w:type="pct"/>
            <w:vAlign w:val="center"/>
          </w:tcPr>
          <w:p w14:paraId="6EA4DA44">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玻璃容器</w:t>
            </w:r>
          </w:p>
        </w:tc>
        <w:tc>
          <w:tcPr>
            <w:tcW w:w="1041" w:type="pct"/>
            <w:vAlign w:val="center"/>
          </w:tcPr>
          <w:p w14:paraId="77845F04">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1.403</w:t>
            </w:r>
          </w:p>
        </w:tc>
        <w:tc>
          <w:tcPr>
            <w:tcW w:w="1047" w:type="pct"/>
            <w:gridSpan w:val="2"/>
            <w:vAlign w:val="center"/>
          </w:tcPr>
          <w:p w14:paraId="24144BEB">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0.862</w:t>
            </w:r>
          </w:p>
        </w:tc>
      </w:tr>
      <w:tr w14:paraId="3C85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374A6396">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w:t>
            </w:r>
          </w:p>
        </w:tc>
        <w:tc>
          <w:tcPr>
            <w:tcW w:w="696" w:type="pct"/>
            <w:vMerge w:val="restart"/>
            <w:vAlign w:val="center"/>
          </w:tcPr>
          <w:p w14:paraId="706A7A29">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金属</w:t>
            </w:r>
          </w:p>
        </w:tc>
        <w:tc>
          <w:tcPr>
            <w:tcW w:w="1696" w:type="pct"/>
            <w:vAlign w:val="center"/>
          </w:tcPr>
          <w:p w14:paraId="2735B7A1">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铝制品</w:t>
            </w:r>
          </w:p>
        </w:tc>
        <w:tc>
          <w:tcPr>
            <w:tcW w:w="1041" w:type="pct"/>
            <w:vAlign w:val="center"/>
          </w:tcPr>
          <w:p w14:paraId="46B58354">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14.773</w:t>
            </w:r>
          </w:p>
        </w:tc>
        <w:tc>
          <w:tcPr>
            <w:tcW w:w="1047" w:type="pct"/>
            <w:gridSpan w:val="2"/>
            <w:vAlign w:val="center"/>
          </w:tcPr>
          <w:p w14:paraId="04BC7C1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0.657</w:t>
            </w:r>
          </w:p>
        </w:tc>
      </w:tr>
      <w:tr w14:paraId="7BCD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366F014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696" w:type="pct"/>
            <w:vMerge w:val="continue"/>
            <w:vAlign w:val="center"/>
          </w:tcPr>
          <w:p w14:paraId="4BD7F64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1696" w:type="pct"/>
            <w:vAlign w:val="center"/>
          </w:tcPr>
          <w:p w14:paraId="24E44B7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钢制品</w:t>
            </w:r>
          </w:p>
        </w:tc>
        <w:tc>
          <w:tcPr>
            <w:tcW w:w="1041" w:type="pct"/>
            <w:vAlign w:val="center"/>
          </w:tcPr>
          <w:p w14:paraId="06404870">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4.4</w:t>
            </w:r>
          </w:p>
        </w:tc>
        <w:tc>
          <w:tcPr>
            <w:tcW w:w="1047" w:type="pct"/>
            <w:gridSpan w:val="2"/>
            <w:vAlign w:val="center"/>
          </w:tcPr>
          <w:p w14:paraId="182CB99F">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0.733</w:t>
            </w:r>
          </w:p>
        </w:tc>
      </w:tr>
      <w:tr w14:paraId="1636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3AD4241D">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5</w:t>
            </w:r>
          </w:p>
        </w:tc>
        <w:tc>
          <w:tcPr>
            <w:tcW w:w="2392" w:type="pct"/>
            <w:gridSpan w:val="2"/>
            <w:vAlign w:val="center"/>
          </w:tcPr>
          <w:p w14:paraId="2504A595">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纺织物</w:t>
            </w:r>
          </w:p>
        </w:tc>
        <w:tc>
          <w:tcPr>
            <w:tcW w:w="2088" w:type="pct"/>
            <w:gridSpan w:val="3"/>
            <w:vAlign w:val="center"/>
          </w:tcPr>
          <w:p w14:paraId="3CAAE0AA">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5.38</w:t>
            </w:r>
            <w:r>
              <w:rPr>
                <w:rFonts w:hint="eastAsia" w:cs="Times New Roman"/>
                <w:color w:val="auto"/>
                <w:kern w:val="0"/>
                <w:sz w:val="18"/>
                <w:szCs w:val="18"/>
                <w:highlight w:val="none"/>
                <w:vertAlign w:val="superscript"/>
                <w:lang w:val="en-US" w:eastAsia="zh-CN"/>
              </w:rPr>
              <w:t>a</w:t>
            </w:r>
          </w:p>
        </w:tc>
      </w:tr>
      <w:tr w14:paraId="6241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2DE60A16">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6</w:t>
            </w:r>
          </w:p>
        </w:tc>
        <w:tc>
          <w:tcPr>
            <w:tcW w:w="2392" w:type="pct"/>
            <w:gridSpan w:val="2"/>
            <w:vAlign w:val="center"/>
          </w:tcPr>
          <w:p w14:paraId="48224AC7">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电器</w:t>
            </w:r>
          </w:p>
        </w:tc>
        <w:tc>
          <w:tcPr>
            <w:tcW w:w="2088" w:type="pct"/>
            <w:gridSpan w:val="3"/>
            <w:vAlign w:val="center"/>
          </w:tcPr>
          <w:p w14:paraId="2E61AB62">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0.402</w:t>
            </w:r>
            <w:r>
              <w:rPr>
                <w:rFonts w:hint="eastAsia" w:cs="Times New Roman"/>
                <w:color w:val="auto"/>
                <w:kern w:val="0"/>
                <w:sz w:val="18"/>
                <w:szCs w:val="18"/>
                <w:highlight w:val="none"/>
                <w:vertAlign w:val="superscript"/>
                <w:lang w:val="en-US" w:eastAsia="zh-CN"/>
              </w:rPr>
              <w:t>b</w:t>
            </w:r>
          </w:p>
        </w:tc>
      </w:tr>
      <w:tr w14:paraId="0479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583A7DBC">
            <w:pPr>
              <w:ind w:left="0" w:leftChars="0" w:firstLine="210" w:firstLineChars="100"/>
              <w:rPr>
                <w:rFonts w:hint="default" w:cs="Times New Roman"/>
                <w:color w:val="auto"/>
                <w:sz w:val="18"/>
                <w:szCs w:val="18"/>
                <w:highlight w:val="none"/>
                <w:shd w:val="clear"/>
                <w:lang w:val="en-US" w:eastAsia="zh-CN"/>
              </w:rPr>
            </w:pPr>
            <w:r>
              <w:rPr>
                <w:rFonts w:hint="eastAsia"/>
                <w:color w:val="auto"/>
                <w:highlight w:val="none"/>
                <w:vertAlign w:val="superscript"/>
                <w:lang w:val="en-US" w:eastAsia="zh-CN"/>
              </w:rPr>
              <w:t>a</w:t>
            </w:r>
            <w:r>
              <w:rPr>
                <w:rFonts w:hint="eastAsia" w:cs="Times New Roman"/>
                <w:color w:val="auto"/>
                <w:sz w:val="18"/>
                <w:szCs w:val="18"/>
                <w:highlight w:val="none"/>
                <w:shd w:val="clear"/>
                <w:lang w:val="en-US" w:eastAsia="zh-CN"/>
              </w:rPr>
              <w:t>同类废弃产品基准线情景和碳普惠情景碳排放因子的差值，即回收利用1kg纺织物所产生的碳减排量（kg</w:t>
            </w:r>
            <w:r>
              <w:rPr>
                <w:rFonts w:hint="eastAsia" w:ascii="Times New Roman" w:hAnsi="Times New Roman" w:cs="Times New Roman"/>
                <w:b w:val="0"/>
                <w:bCs w:val="0"/>
                <w:color w:val="auto"/>
                <w:kern w:val="0"/>
                <w:sz w:val="18"/>
                <w:szCs w:val="18"/>
                <w:highlight w:val="none"/>
                <w:lang w:val="en-US" w:eastAsia="zh-CN"/>
              </w:rPr>
              <w:t>CO</w:t>
            </w:r>
            <w:r>
              <w:rPr>
                <w:rFonts w:hint="eastAsia" w:ascii="Times New Roman" w:hAnsi="Times New Roman" w:cs="Times New Roman"/>
                <w:b w:val="0"/>
                <w:bCs w:val="0"/>
                <w:color w:val="auto"/>
                <w:kern w:val="0"/>
                <w:sz w:val="18"/>
                <w:szCs w:val="18"/>
                <w:highlight w:val="none"/>
                <w:vertAlign w:val="subscript"/>
                <w:lang w:val="en-US" w:eastAsia="zh-CN"/>
              </w:rPr>
              <w:t>2</w:t>
            </w:r>
            <w:r>
              <w:rPr>
                <w:rFonts w:hint="eastAsia" w:cs="Times New Roman"/>
                <w:color w:val="auto"/>
                <w:sz w:val="18"/>
                <w:szCs w:val="18"/>
                <w:highlight w:val="none"/>
                <w:shd w:val="clear"/>
                <w:lang w:val="en-US" w:eastAsia="zh-CN"/>
              </w:rPr>
              <w:t>）。</w:t>
            </w:r>
          </w:p>
          <w:p w14:paraId="1D480A9F">
            <w:pPr>
              <w:ind w:left="0" w:leftChars="0" w:firstLine="210" w:firstLineChars="100"/>
              <w:rPr>
                <w:rFonts w:hint="default"/>
                <w:color w:val="auto"/>
                <w:highlight w:val="none"/>
                <w:lang w:val="en-US" w:eastAsia="zh-CN"/>
              </w:rPr>
            </w:pPr>
            <w:r>
              <w:rPr>
                <w:rFonts w:hint="eastAsia"/>
                <w:color w:val="auto"/>
                <w:highlight w:val="none"/>
                <w:vertAlign w:val="superscript"/>
                <w:lang w:val="en-US" w:eastAsia="zh-CN"/>
              </w:rPr>
              <w:t>b</w:t>
            </w:r>
            <w:r>
              <w:rPr>
                <w:rFonts w:hint="eastAsia" w:cs="Times New Roman"/>
                <w:color w:val="auto"/>
                <w:sz w:val="18"/>
                <w:szCs w:val="18"/>
                <w:highlight w:val="none"/>
                <w:shd w:val="clear"/>
                <w:lang w:val="en-US" w:eastAsia="zh-CN"/>
              </w:rPr>
              <w:t>同类废弃产品基准线情景和碳普惠情景碳排放因子的差值，即回收利用1kg电器所产生的碳减排量（kg</w:t>
            </w:r>
            <w:r>
              <w:rPr>
                <w:rFonts w:hint="eastAsia" w:ascii="Times New Roman" w:hAnsi="Times New Roman" w:cs="Times New Roman"/>
                <w:b w:val="0"/>
                <w:bCs w:val="0"/>
                <w:color w:val="auto"/>
                <w:kern w:val="0"/>
                <w:sz w:val="18"/>
                <w:szCs w:val="18"/>
                <w:highlight w:val="none"/>
                <w:lang w:val="en-US" w:eastAsia="zh-CN"/>
              </w:rPr>
              <w:t>CO</w:t>
            </w:r>
            <w:r>
              <w:rPr>
                <w:rFonts w:hint="eastAsia" w:ascii="Times New Roman" w:hAnsi="Times New Roman" w:cs="Times New Roman"/>
                <w:b w:val="0"/>
                <w:bCs w:val="0"/>
                <w:color w:val="auto"/>
                <w:kern w:val="0"/>
                <w:sz w:val="18"/>
                <w:szCs w:val="18"/>
                <w:highlight w:val="none"/>
                <w:vertAlign w:val="subscript"/>
                <w:lang w:val="en-US" w:eastAsia="zh-CN"/>
              </w:rPr>
              <w:t>2</w:t>
            </w:r>
            <w:r>
              <w:rPr>
                <w:rFonts w:hint="eastAsia" w:cs="Times New Roman"/>
                <w:color w:val="auto"/>
                <w:sz w:val="18"/>
                <w:szCs w:val="18"/>
                <w:highlight w:val="none"/>
                <w:shd w:val="clear"/>
                <w:lang w:val="en-US" w:eastAsia="zh-CN"/>
              </w:rPr>
              <w:t>）。</w:t>
            </w:r>
          </w:p>
        </w:tc>
      </w:tr>
    </w:tbl>
    <w:p w14:paraId="3BE1A166">
      <w:pPr>
        <w:ind w:left="0" w:leftChars="0" w:firstLine="0" w:firstLineChars="0"/>
        <w:rPr>
          <w:rFonts w:hint="default" w:cs="Times New Roman"/>
          <w:color w:val="auto"/>
          <w:highlight w:val="none"/>
          <w:lang w:val="en-US" w:eastAsia="zh-CN"/>
        </w:rPr>
      </w:pPr>
    </w:p>
    <w:sectPr>
      <w:footerReference r:id="rId12" w:type="default"/>
      <w:footnotePr>
        <w:numRestart w:val="eachSect"/>
      </w:footnotePr>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CA4C6">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13A5">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E5F0">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CAF3">
    <w:pPr>
      <w:pStyle w:val="1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F24F2A">
                          <w:pPr>
                            <w:pStyle w:val="1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EF24F2A">
                    <w:pPr>
                      <w:pStyle w:val="1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EEACD">
    <w:pPr>
      <w:pStyle w:val="17"/>
      <w:keepNext w:val="0"/>
      <w:keepLines w:val="0"/>
      <w:pageBreakBefore w:val="0"/>
      <w:widowControl w:val="0"/>
      <w:kinsoku/>
      <w:wordWrap/>
      <w:overflowPunct/>
      <w:topLinePunct w:val="0"/>
      <w:bidi w:val="0"/>
      <w:adjustRightInd/>
      <w:snapToGrid w:val="0"/>
      <w:ind w:firstLine="0" w:firstLineChars="0"/>
      <w:jc w:val="center"/>
      <w:textAlignment w:val="auto"/>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14:paraId="614E030A">
                          <w:pPr>
                            <w:pStyle w:val="17"/>
                            <w:keepNext w:val="0"/>
                            <w:keepLines w:val="0"/>
                            <w:pageBreakBefore w:val="0"/>
                            <w:widowControl w:val="0"/>
                            <w:kinsoku/>
                            <w:wordWrap/>
                            <w:overflowPunct/>
                            <w:topLinePunct w:val="0"/>
                            <w:bidi w:val="0"/>
                            <w:adjustRightInd/>
                            <w:snapToGrid w:val="0"/>
                            <w:ind w:firstLine="0" w:firstLineChars="0"/>
                            <w:jc w:val="center"/>
                            <w:textAlignment w:val="auto"/>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DBAoAAAAAAIdO4kAAAAAAAAAAAAAAAAAEAAAAZHJzL1BLAwQUAAAACACHTuJArRdadNcAAAAH&#10;AQAADwAAAGRycy9kb3ducmV2LnhtbE2PMU/DMBSEdyT+g/WQWFDrxEW0DXE6IHVDQk0ZYHPj1zgQ&#10;P0ex2xR+PY8JxtOd7r4rNxffizOOsQukIZ9nIJCaYDtqNbzut7MViJgMWdMHQg1fGGFTXV+VprBh&#10;oh2e69QKLqFYGA0upaGQMjYOvYnzMCCxdwyjN4nl2Eo7monLfS9Vlj1IbzriBWcGfHLYfNYnr2H7&#10;8tYhfcvd3Xo1hY9GvdfuedD69ibPHkEkvKS/MPziMzpUzHQIJ7JR9BoWa6U4qoEfsX2/VAsQBw0q&#10;X4KsSvmfv/oBUEsDBBQAAAAIAIdO4kCJDUuC0QEAAJIDAAAOAAAAZHJzL2Uyb0RvYy54bWytU0tu&#10;2zAQ3RfoHQjua8lJnY9hOShgpChQtAHSHoCmKIsAf52hLbkHaG/QVTfd91w+R4eU7ATJJotuqCGH&#10;fPPem9HipreG7RSg9q7i00nJmXLS19ptKv71y+2bK84wClcL452q+F4hv1m+frXowlyd+dabWgEj&#10;EIfzLlS8jTHMiwJlq6zAiQ/KUbLxYEWkLWyKGkRH6NYUZ2V5UXQe6gBeKkQ6XQ1JPiLCSwB902ip&#10;Vl5urXJxQAVlRCRJ2OqAfJnZNo2S8XPToIrMVJyUxrxSEYrXaS2WCzHfgAitliMF8RIKTzRZoR0V&#10;PUGtRBRsC/oZlNUSPPomTqS3xSAkO0IqpuUTb+5bEVTWQlZjOJmO/w9WftrdAdN1xd+W19R5Jyz1&#10;/PDr5+H338OfH2yWHOoCzunifbiDcYcUJrl9AzZ9SQjrs6v7k6uqj0zS4ay8ujifcSYpNT2/vLzO&#10;mMXD4wAY3ytvWQoqDtS07KXYfcRIBenq8UqqZVxanb/VxgzZdFIkkgOtFMV+3Y9c177ek0YaeQJv&#10;PXznrKOGVxy/bQUozswHR46m6TgGcAzWx0A4SU8rPjDD8G4biUBml8oNNUYW1KpMehyrNAuP9/nW&#10;w6+0/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F1p01wAAAAcBAAAPAAAAAAAAAAEAIAAAACIA&#10;AABkcnMvZG93bnJldi54bWxQSwECFAAUAAAACACHTuJAiQ1LgtEBAACSAwAADgAAAAAAAAABACAA&#10;AAAmAQAAZHJzL2Uyb0RvYy54bWxQSwUGAAAAAAYABgBZAQAAaQUAAAAA&#10;">
              <v:fill on="f" focussize="0,0"/>
              <v:stroke on="f"/>
              <v:imagedata o:title=""/>
              <o:lock v:ext="edit" aspectratio="f"/>
              <v:textbox inset="0mm,0mm,0mm,0mm" style="mso-fit-shape-to-text:t;">
                <w:txbxContent>
                  <w:p w14:paraId="614E030A">
                    <w:pPr>
                      <w:pStyle w:val="17"/>
                      <w:keepNext w:val="0"/>
                      <w:keepLines w:val="0"/>
                      <w:pageBreakBefore w:val="0"/>
                      <w:widowControl w:val="0"/>
                      <w:kinsoku/>
                      <w:wordWrap/>
                      <w:overflowPunct/>
                      <w:topLinePunct w:val="0"/>
                      <w:bidi w:val="0"/>
                      <w:adjustRightInd/>
                      <w:snapToGrid w:val="0"/>
                      <w:ind w:firstLine="0" w:firstLineChars="0"/>
                      <w:jc w:val="center"/>
                      <w:textAlignment w:val="auto"/>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0666">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E692">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39CD9">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4">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5"/>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6"/>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I2NDhhOGZjYmQ5ZDkwNDQ4OThlNzU2Mzc2ZjUifQ=="/>
    <w:docVar w:name="KSO_WPS_MARK_KEY" w:val="38f53cb1-c483-4a74-8900-132c1a376c8e"/>
  </w:docVars>
  <w:rsids>
    <w:rsidRoot w:val="00F41B4B"/>
    <w:rsid w:val="00000AFB"/>
    <w:rsid w:val="000135B9"/>
    <w:rsid w:val="0001491F"/>
    <w:rsid w:val="00026CEB"/>
    <w:rsid w:val="000273CC"/>
    <w:rsid w:val="0003447A"/>
    <w:rsid w:val="00034B5C"/>
    <w:rsid w:val="00060D70"/>
    <w:rsid w:val="00060EBF"/>
    <w:rsid w:val="00066896"/>
    <w:rsid w:val="00083AF7"/>
    <w:rsid w:val="00090D8B"/>
    <w:rsid w:val="000A3D60"/>
    <w:rsid w:val="000A5CA2"/>
    <w:rsid w:val="000A5D84"/>
    <w:rsid w:val="000B1250"/>
    <w:rsid w:val="000E2201"/>
    <w:rsid w:val="000E24EB"/>
    <w:rsid w:val="000E51CD"/>
    <w:rsid w:val="0010371D"/>
    <w:rsid w:val="00117D10"/>
    <w:rsid w:val="00117E43"/>
    <w:rsid w:val="001359F4"/>
    <w:rsid w:val="001467B2"/>
    <w:rsid w:val="001500FD"/>
    <w:rsid w:val="00160EC5"/>
    <w:rsid w:val="00162630"/>
    <w:rsid w:val="00176637"/>
    <w:rsid w:val="00176FCA"/>
    <w:rsid w:val="001851BB"/>
    <w:rsid w:val="001F33B8"/>
    <w:rsid w:val="00206C85"/>
    <w:rsid w:val="00211EC9"/>
    <w:rsid w:val="00213373"/>
    <w:rsid w:val="00223E76"/>
    <w:rsid w:val="00237EA5"/>
    <w:rsid w:val="0024779E"/>
    <w:rsid w:val="00253730"/>
    <w:rsid w:val="00260C48"/>
    <w:rsid w:val="0026193C"/>
    <w:rsid w:val="00267DDC"/>
    <w:rsid w:val="00270E72"/>
    <w:rsid w:val="00273E92"/>
    <w:rsid w:val="002810F0"/>
    <w:rsid w:val="00281412"/>
    <w:rsid w:val="002827CF"/>
    <w:rsid w:val="0029721B"/>
    <w:rsid w:val="002A0E6F"/>
    <w:rsid w:val="002A322A"/>
    <w:rsid w:val="002A3ECB"/>
    <w:rsid w:val="002B10C6"/>
    <w:rsid w:val="002B30BD"/>
    <w:rsid w:val="002B79B4"/>
    <w:rsid w:val="002D032C"/>
    <w:rsid w:val="002D5183"/>
    <w:rsid w:val="002E0E2F"/>
    <w:rsid w:val="002E2932"/>
    <w:rsid w:val="002E5F7B"/>
    <w:rsid w:val="002F062F"/>
    <w:rsid w:val="002F7029"/>
    <w:rsid w:val="002F7FB7"/>
    <w:rsid w:val="00313975"/>
    <w:rsid w:val="00314317"/>
    <w:rsid w:val="00317DF2"/>
    <w:rsid w:val="00332178"/>
    <w:rsid w:val="0033331A"/>
    <w:rsid w:val="00333C3A"/>
    <w:rsid w:val="003369DF"/>
    <w:rsid w:val="00343267"/>
    <w:rsid w:val="003442A4"/>
    <w:rsid w:val="00344E82"/>
    <w:rsid w:val="00356071"/>
    <w:rsid w:val="00367B4A"/>
    <w:rsid w:val="00373DF9"/>
    <w:rsid w:val="003914D5"/>
    <w:rsid w:val="00397ACD"/>
    <w:rsid w:val="003A5345"/>
    <w:rsid w:val="003A5EBF"/>
    <w:rsid w:val="003D3E24"/>
    <w:rsid w:val="003E7BB2"/>
    <w:rsid w:val="004035E0"/>
    <w:rsid w:val="00403EC4"/>
    <w:rsid w:val="00404F5D"/>
    <w:rsid w:val="00414189"/>
    <w:rsid w:val="00433D61"/>
    <w:rsid w:val="004404C2"/>
    <w:rsid w:val="004432D0"/>
    <w:rsid w:val="00446AB2"/>
    <w:rsid w:val="00455069"/>
    <w:rsid w:val="00456200"/>
    <w:rsid w:val="004605EA"/>
    <w:rsid w:val="00465F01"/>
    <w:rsid w:val="004824D4"/>
    <w:rsid w:val="004855B5"/>
    <w:rsid w:val="004B7394"/>
    <w:rsid w:val="004B7BA7"/>
    <w:rsid w:val="004C2A27"/>
    <w:rsid w:val="004C321F"/>
    <w:rsid w:val="004C3462"/>
    <w:rsid w:val="004C56C1"/>
    <w:rsid w:val="004D184B"/>
    <w:rsid w:val="004D5F0C"/>
    <w:rsid w:val="004D6E91"/>
    <w:rsid w:val="004D73CF"/>
    <w:rsid w:val="00501D08"/>
    <w:rsid w:val="00502C41"/>
    <w:rsid w:val="0050385C"/>
    <w:rsid w:val="0050688B"/>
    <w:rsid w:val="00517C85"/>
    <w:rsid w:val="00535B68"/>
    <w:rsid w:val="00541BE5"/>
    <w:rsid w:val="00546CFD"/>
    <w:rsid w:val="00554F70"/>
    <w:rsid w:val="00556FF2"/>
    <w:rsid w:val="00571C64"/>
    <w:rsid w:val="005771B6"/>
    <w:rsid w:val="00586E0C"/>
    <w:rsid w:val="00590601"/>
    <w:rsid w:val="0059145C"/>
    <w:rsid w:val="00591A48"/>
    <w:rsid w:val="00595FB8"/>
    <w:rsid w:val="005A0284"/>
    <w:rsid w:val="005A16B5"/>
    <w:rsid w:val="005A5AAD"/>
    <w:rsid w:val="005A786D"/>
    <w:rsid w:val="005A7DB1"/>
    <w:rsid w:val="005B244E"/>
    <w:rsid w:val="005B2F3C"/>
    <w:rsid w:val="005B6B6F"/>
    <w:rsid w:val="005B72EF"/>
    <w:rsid w:val="005C2ABC"/>
    <w:rsid w:val="005D70A1"/>
    <w:rsid w:val="005E3BA4"/>
    <w:rsid w:val="005F135B"/>
    <w:rsid w:val="005F4B04"/>
    <w:rsid w:val="0060737B"/>
    <w:rsid w:val="00610BED"/>
    <w:rsid w:val="006147BD"/>
    <w:rsid w:val="00614D3D"/>
    <w:rsid w:val="00617644"/>
    <w:rsid w:val="006268D8"/>
    <w:rsid w:val="006276F8"/>
    <w:rsid w:val="0063184D"/>
    <w:rsid w:val="00632804"/>
    <w:rsid w:val="0064173E"/>
    <w:rsid w:val="006516B7"/>
    <w:rsid w:val="00651993"/>
    <w:rsid w:val="006617E7"/>
    <w:rsid w:val="0066255D"/>
    <w:rsid w:val="0066793B"/>
    <w:rsid w:val="00681426"/>
    <w:rsid w:val="00685A47"/>
    <w:rsid w:val="0069489E"/>
    <w:rsid w:val="00697549"/>
    <w:rsid w:val="00697BDB"/>
    <w:rsid w:val="006A520C"/>
    <w:rsid w:val="006A626B"/>
    <w:rsid w:val="006B41EE"/>
    <w:rsid w:val="006D6015"/>
    <w:rsid w:val="006E3DEE"/>
    <w:rsid w:val="006E47C8"/>
    <w:rsid w:val="006F21BF"/>
    <w:rsid w:val="006F6535"/>
    <w:rsid w:val="006F7D33"/>
    <w:rsid w:val="00701ED5"/>
    <w:rsid w:val="00711FBB"/>
    <w:rsid w:val="007149CA"/>
    <w:rsid w:val="00723D9A"/>
    <w:rsid w:val="00723E12"/>
    <w:rsid w:val="00731FF2"/>
    <w:rsid w:val="0073680C"/>
    <w:rsid w:val="00737FDC"/>
    <w:rsid w:val="00746C39"/>
    <w:rsid w:val="00750177"/>
    <w:rsid w:val="007634F3"/>
    <w:rsid w:val="00792C61"/>
    <w:rsid w:val="00795CFA"/>
    <w:rsid w:val="00795D86"/>
    <w:rsid w:val="007A4ADF"/>
    <w:rsid w:val="007A6E9A"/>
    <w:rsid w:val="007B6E39"/>
    <w:rsid w:val="007D54E0"/>
    <w:rsid w:val="007F2819"/>
    <w:rsid w:val="007F420D"/>
    <w:rsid w:val="007F5003"/>
    <w:rsid w:val="00810FD9"/>
    <w:rsid w:val="008216B6"/>
    <w:rsid w:val="008261CD"/>
    <w:rsid w:val="00834079"/>
    <w:rsid w:val="0083719C"/>
    <w:rsid w:val="00837939"/>
    <w:rsid w:val="0084021F"/>
    <w:rsid w:val="00842377"/>
    <w:rsid w:val="008505FC"/>
    <w:rsid w:val="00851015"/>
    <w:rsid w:val="00862FB1"/>
    <w:rsid w:val="00870BAD"/>
    <w:rsid w:val="008747B6"/>
    <w:rsid w:val="00874FBE"/>
    <w:rsid w:val="0087632A"/>
    <w:rsid w:val="008804F5"/>
    <w:rsid w:val="00893CBA"/>
    <w:rsid w:val="00894DEF"/>
    <w:rsid w:val="008A2FC2"/>
    <w:rsid w:val="008B5AFF"/>
    <w:rsid w:val="008C6046"/>
    <w:rsid w:val="008D3EBE"/>
    <w:rsid w:val="008E166C"/>
    <w:rsid w:val="008E463F"/>
    <w:rsid w:val="008E4C0B"/>
    <w:rsid w:val="008E7CCE"/>
    <w:rsid w:val="008F50A7"/>
    <w:rsid w:val="008F63DE"/>
    <w:rsid w:val="00900248"/>
    <w:rsid w:val="00906DD0"/>
    <w:rsid w:val="009157C2"/>
    <w:rsid w:val="00924A25"/>
    <w:rsid w:val="009279E5"/>
    <w:rsid w:val="0093150E"/>
    <w:rsid w:val="00934F04"/>
    <w:rsid w:val="00935337"/>
    <w:rsid w:val="009420F4"/>
    <w:rsid w:val="00947CE0"/>
    <w:rsid w:val="00955BFE"/>
    <w:rsid w:val="00961170"/>
    <w:rsid w:val="00964398"/>
    <w:rsid w:val="0096523A"/>
    <w:rsid w:val="00965588"/>
    <w:rsid w:val="009711C8"/>
    <w:rsid w:val="00971617"/>
    <w:rsid w:val="00972290"/>
    <w:rsid w:val="009730F6"/>
    <w:rsid w:val="00976544"/>
    <w:rsid w:val="00993326"/>
    <w:rsid w:val="009933EB"/>
    <w:rsid w:val="0099426E"/>
    <w:rsid w:val="009A74A2"/>
    <w:rsid w:val="009C2526"/>
    <w:rsid w:val="009C409E"/>
    <w:rsid w:val="009D2296"/>
    <w:rsid w:val="009D2F0F"/>
    <w:rsid w:val="009D40D1"/>
    <w:rsid w:val="009E2F49"/>
    <w:rsid w:val="009E5EF2"/>
    <w:rsid w:val="009F564C"/>
    <w:rsid w:val="009F7ED8"/>
    <w:rsid w:val="00A04AC3"/>
    <w:rsid w:val="00A14709"/>
    <w:rsid w:val="00A21FE2"/>
    <w:rsid w:val="00A32402"/>
    <w:rsid w:val="00A33297"/>
    <w:rsid w:val="00A340E5"/>
    <w:rsid w:val="00A444D0"/>
    <w:rsid w:val="00A46A7D"/>
    <w:rsid w:val="00A55F83"/>
    <w:rsid w:val="00A578BF"/>
    <w:rsid w:val="00A903BB"/>
    <w:rsid w:val="00A97B20"/>
    <w:rsid w:val="00AB55CC"/>
    <w:rsid w:val="00AC478F"/>
    <w:rsid w:val="00AC722B"/>
    <w:rsid w:val="00AD2548"/>
    <w:rsid w:val="00AE5DAA"/>
    <w:rsid w:val="00AF3ADB"/>
    <w:rsid w:val="00B06F5E"/>
    <w:rsid w:val="00B07529"/>
    <w:rsid w:val="00B11A81"/>
    <w:rsid w:val="00B22B27"/>
    <w:rsid w:val="00B34C6D"/>
    <w:rsid w:val="00B35B52"/>
    <w:rsid w:val="00B422AA"/>
    <w:rsid w:val="00B46267"/>
    <w:rsid w:val="00B51050"/>
    <w:rsid w:val="00B54F60"/>
    <w:rsid w:val="00B636A6"/>
    <w:rsid w:val="00B77B5D"/>
    <w:rsid w:val="00B92105"/>
    <w:rsid w:val="00B95A67"/>
    <w:rsid w:val="00BA047D"/>
    <w:rsid w:val="00BA4A06"/>
    <w:rsid w:val="00BC263B"/>
    <w:rsid w:val="00BC7974"/>
    <w:rsid w:val="00BE01C0"/>
    <w:rsid w:val="00BF6A3A"/>
    <w:rsid w:val="00BF6B8C"/>
    <w:rsid w:val="00BF72CF"/>
    <w:rsid w:val="00C37B9A"/>
    <w:rsid w:val="00C41333"/>
    <w:rsid w:val="00C46902"/>
    <w:rsid w:val="00C5133A"/>
    <w:rsid w:val="00C56AF0"/>
    <w:rsid w:val="00C7187F"/>
    <w:rsid w:val="00C82D8D"/>
    <w:rsid w:val="00C91FF7"/>
    <w:rsid w:val="00C94BDF"/>
    <w:rsid w:val="00C96D89"/>
    <w:rsid w:val="00CA0E4B"/>
    <w:rsid w:val="00CB6747"/>
    <w:rsid w:val="00CB6EB6"/>
    <w:rsid w:val="00CC14A2"/>
    <w:rsid w:val="00CC211B"/>
    <w:rsid w:val="00CC5237"/>
    <w:rsid w:val="00D01E21"/>
    <w:rsid w:val="00D11FD1"/>
    <w:rsid w:val="00D26DC5"/>
    <w:rsid w:val="00D34471"/>
    <w:rsid w:val="00D35218"/>
    <w:rsid w:val="00D430D4"/>
    <w:rsid w:val="00D47827"/>
    <w:rsid w:val="00D61976"/>
    <w:rsid w:val="00D67789"/>
    <w:rsid w:val="00D7112C"/>
    <w:rsid w:val="00D72DE3"/>
    <w:rsid w:val="00D74570"/>
    <w:rsid w:val="00D85D32"/>
    <w:rsid w:val="00D85DEA"/>
    <w:rsid w:val="00D873AE"/>
    <w:rsid w:val="00D907A6"/>
    <w:rsid w:val="00D90B65"/>
    <w:rsid w:val="00D92F13"/>
    <w:rsid w:val="00DA094F"/>
    <w:rsid w:val="00DB38FB"/>
    <w:rsid w:val="00DD114A"/>
    <w:rsid w:val="00DE3FEB"/>
    <w:rsid w:val="00E12EE0"/>
    <w:rsid w:val="00E148E5"/>
    <w:rsid w:val="00E245E4"/>
    <w:rsid w:val="00E302FB"/>
    <w:rsid w:val="00E321D5"/>
    <w:rsid w:val="00E37A73"/>
    <w:rsid w:val="00E43FB2"/>
    <w:rsid w:val="00E44F1B"/>
    <w:rsid w:val="00E55437"/>
    <w:rsid w:val="00E567E4"/>
    <w:rsid w:val="00E6434A"/>
    <w:rsid w:val="00E65061"/>
    <w:rsid w:val="00E718C1"/>
    <w:rsid w:val="00E7644D"/>
    <w:rsid w:val="00E841FA"/>
    <w:rsid w:val="00E909DB"/>
    <w:rsid w:val="00E93D72"/>
    <w:rsid w:val="00EB2A02"/>
    <w:rsid w:val="00EB597F"/>
    <w:rsid w:val="00ED746A"/>
    <w:rsid w:val="00F0304F"/>
    <w:rsid w:val="00F06E39"/>
    <w:rsid w:val="00F11D5C"/>
    <w:rsid w:val="00F15AF8"/>
    <w:rsid w:val="00F24FDE"/>
    <w:rsid w:val="00F27C01"/>
    <w:rsid w:val="00F33EB5"/>
    <w:rsid w:val="00F41B4B"/>
    <w:rsid w:val="00F50283"/>
    <w:rsid w:val="00F52865"/>
    <w:rsid w:val="00F57945"/>
    <w:rsid w:val="00F6309E"/>
    <w:rsid w:val="00F64765"/>
    <w:rsid w:val="00F720FE"/>
    <w:rsid w:val="00F878DE"/>
    <w:rsid w:val="00F90536"/>
    <w:rsid w:val="00F90D9B"/>
    <w:rsid w:val="00FC57AB"/>
    <w:rsid w:val="00FD075B"/>
    <w:rsid w:val="00FE4B3F"/>
    <w:rsid w:val="00FE5985"/>
    <w:rsid w:val="00FF1CCC"/>
    <w:rsid w:val="0110539B"/>
    <w:rsid w:val="01E07299"/>
    <w:rsid w:val="02104022"/>
    <w:rsid w:val="02AD7AC3"/>
    <w:rsid w:val="02BC29A9"/>
    <w:rsid w:val="02FC4898"/>
    <w:rsid w:val="03463A74"/>
    <w:rsid w:val="03FC15DE"/>
    <w:rsid w:val="05561767"/>
    <w:rsid w:val="0570442B"/>
    <w:rsid w:val="058B4F72"/>
    <w:rsid w:val="05A00C76"/>
    <w:rsid w:val="05DB66F5"/>
    <w:rsid w:val="05DF23A0"/>
    <w:rsid w:val="063522A9"/>
    <w:rsid w:val="069C1EFD"/>
    <w:rsid w:val="06D33870"/>
    <w:rsid w:val="0768220B"/>
    <w:rsid w:val="07B03421"/>
    <w:rsid w:val="07C51106"/>
    <w:rsid w:val="07E311D7"/>
    <w:rsid w:val="084542FA"/>
    <w:rsid w:val="095E38C5"/>
    <w:rsid w:val="09DE4A06"/>
    <w:rsid w:val="09E162A4"/>
    <w:rsid w:val="0A0A1357"/>
    <w:rsid w:val="0A5A1C44"/>
    <w:rsid w:val="0AA55524"/>
    <w:rsid w:val="0ABE52B1"/>
    <w:rsid w:val="0B1C1BCC"/>
    <w:rsid w:val="0B1D330C"/>
    <w:rsid w:val="0BCF5714"/>
    <w:rsid w:val="0BDC31C7"/>
    <w:rsid w:val="0C34090D"/>
    <w:rsid w:val="0C714D93"/>
    <w:rsid w:val="0C9F0068"/>
    <w:rsid w:val="0CAE49EC"/>
    <w:rsid w:val="0CE340E1"/>
    <w:rsid w:val="0D2210AE"/>
    <w:rsid w:val="0D7953BD"/>
    <w:rsid w:val="0DC61A39"/>
    <w:rsid w:val="0E2F5830"/>
    <w:rsid w:val="0E7B0A75"/>
    <w:rsid w:val="0FEA1F73"/>
    <w:rsid w:val="10F71999"/>
    <w:rsid w:val="10FD422C"/>
    <w:rsid w:val="111A1EDD"/>
    <w:rsid w:val="11E83635"/>
    <w:rsid w:val="11ED1C8A"/>
    <w:rsid w:val="12942106"/>
    <w:rsid w:val="12FB3F33"/>
    <w:rsid w:val="135B70C7"/>
    <w:rsid w:val="13653AA2"/>
    <w:rsid w:val="139753EB"/>
    <w:rsid w:val="13BB1914"/>
    <w:rsid w:val="14EC428B"/>
    <w:rsid w:val="155362A8"/>
    <w:rsid w:val="1585667E"/>
    <w:rsid w:val="15C70470"/>
    <w:rsid w:val="169365FF"/>
    <w:rsid w:val="16C6695D"/>
    <w:rsid w:val="171C6B6E"/>
    <w:rsid w:val="17885FB1"/>
    <w:rsid w:val="184062DA"/>
    <w:rsid w:val="1921046B"/>
    <w:rsid w:val="19393A07"/>
    <w:rsid w:val="1AE435C3"/>
    <w:rsid w:val="1B283D33"/>
    <w:rsid w:val="1BCC0B62"/>
    <w:rsid w:val="1CB2D89F"/>
    <w:rsid w:val="1D2A34AD"/>
    <w:rsid w:val="1D562CB2"/>
    <w:rsid w:val="1D7B2DDF"/>
    <w:rsid w:val="1F366315"/>
    <w:rsid w:val="202076CF"/>
    <w:rsid w:val="209E05F3"/>
    <w:rsid w:val="20ED6215"/>
    <w:rsid w:val="21374CD0"/>
    <w:rsid w:val="213827F6"/>
    <w:rsid w:val="213F3B84"/>
    <w:rsid w:val="22572153"/>
    <w:rsid w:val="226F199F"/>
    <w:rsid w:val="22A84C5E"/>
    <w:rsid w:val="233A2855"/>
    <w:rsid w:val="237A5348"/>
    <w:rsid w:val="23AF777A"/>
    <w:rsid w:val="23BD5235"/>
    <w:rsid w:val="2480073C"/>
    <w:rsid w:val="24805A2B"/>
    <w:rsid w:val="24857B00"/>
    <w:rsid w:val="25735D92"/>
    <w:rsid w:val="25873D4C"/>
    <w:rsid w:val="263164AB"/>
    <w:rsid w:val="2661459D"/>
    <w:rsid w:val="268169ED"/>
    <w:rsid w:val="2753038A"/>
    <w:rsid w:val="275630BC"/>
    <w:rsid w:val="27A504B9"/>
    <w:rsid w:val="27E25DE6"/>
    <w:rsid w:val="27FF5E1C"/>
    <w:rsid w:val="28B430AA"/>
    <w:rsid w:val="28F17E5A"/>
    <w:rsid w:val="291B0A33"/>
    <w:rsid w:val="2973261D"/>
    <w:rsid w:val="29955DC8"/>
    <w:rsid w:val="29B1217E"/>
    <w:rsid w:val="2AC5243A"/>
    <w:rsid w:val="2AD43FB7"/>
    <w:rsid w:val="2C33526B"/>
    <w:rsid w:val="2CA46F92"/>
    <w:rsid w:val="2D0A14EA"/>
    <w:rsid w:val="2DCB7AC4"/>
    <w:rsid w:val="2DCC181A"/>
    <w:rsid w:val="2DD80E6F"/>
    <w:rsid w:val="2E424CB4"/>
    <w:rsid w:val="2E513149"/>
    <w:rsid w:val="2E580034"/>
    <w:rsid w:val="2EC35A87"/>
    <w:rsid w:val="2F2264BF"/>
    <w:rsid w:val="2F647D71"/>
    <w:rsid w:val="2F694E90"/>
    <w:rsid w:val="2FF22AC8"/>
    <w:rsid w:val="300F0BC6"/>
    <w:rsid w:val="30420F9B"/>
    <w:rsid w:val="3043156F"/>
    <w:rsid w:val="304E7940"/>
    <w:rsid w:val="306E1D90"/>
    <w:rsid w:val="318A4AA7"/>
    <w:rsid w:val="31FB6CFB"/>
    <w:rsid w:val="327D450D"/>
    <w:rsid w:val="32AC5CBD"/>
    <w:rsid w:val="32C959A4"/>
    <w:rsid w:val="32CC0FF0"/>
    <w:rsid w:val="32E0684A"/>
    <w:rsid w:val="337541EC"/>
    <w:rsid w:val="344F280E"/>
    <w:rsid w:val="3454129D"/>
    <w:rsid w:val="34C226AB"/>
    <w:rsid w:val="35380BBF"/>
    <w:rsid w:val="35507CB7"/>
    <w:rsid w:val="358E1178"/>
    <w:rsid w:val="360C75D5"/>
    <w:rsid w:val="36C95F72"/>
    <w:rsid w:val="36E14311"/>
    <w:rsid w:val="374345A0"/>
    <w:rsid w:val="378E5C9A"/>
    <w:rsid w:val="37AE64D4"/>
    <w:rsid w:val="37F277AC"/>
    <w:rsid w:val="386A108F"/>
    <w:rsid w:val="388A0F0B"/>
    <w:rsid w:val="38B42A73"/>
    <w:rsid w:val="39317DFF"/>
    <w:rsid w:val="39763A64"/>
    <w:rsid w:val="3A1439A9"/>
    <w:rsid w:val="3A63223A"/>
    <w:rsid w:val="3AAC1418"/>
    <w:rsid w:val="3DF02037"/>
    <w:rsid w:val="3E3A7756"/>
    <w:rsid w:val="3E7F33BB"/>
    <w:rsid w:val="3EB5502E"/>
    <w:rsid w:val="3F95DF3F"/>
    <w:rsid w:val="3FC47A2D"/>
    <w:rsid w:val="40AD420F"/>
    <w:rsid w:val="41A575DC"/>
    <w:rsid w:val="425A2175"/>
    <w:rsid w:val="43623C3A"/>
    <w:rsid w:val="4439645C"/>
    <w:rsid w:val="44646C4B"/>
    <w:rsid w:val="44FB2EED"/>
    <w:rsid w:val="450C6B01"/>
    <w:rsid w:val="450D7972"/>
    <w:rsid w:val="450F36EA"/>
    <w:rsid w:val="45285971"/>
    <w:rsid w:val="452D591E"/>
    <w:rsid w:val="45336CAD"/>
    <w:rsid w:val="45390767"/>
    <w:rsid w:val="45A504B5"/>
    <w:rsid w:val="45EE28DC"/>
    <w:rsid w:val="45F07C2A"/>
    <w:rsid w:val="4698770F"/>
    <w:rsid w:val="46C73B51"/>
    <w:rsid w:val="46D503A7"/>
    <w:rsid w:val="46DD15C6"/>
    <w:rsid w:val="47094169"/>
    <w:rsid w:val="47EB386F"/>
    <w:rsid w:val="48691363"/>
    <w:rsid w:val="48DE5904"/>
    <w:rsid w:val="49373210"/>
    <w:rsid w:val="49753D38"/>
    <w:rsid w:val="498B2BE2"/>
    <w:rsid w:val="4A073E3C"/>
    <w:rsid w:val="4A201EF6"/>
    <w:rsid w:val="4A9709D4"/>
    <w:rsid w:val="4B69167A"/>
    <w:rsid w:val="4BF74ED8"/>
    <w:rsid w:val="4C343D62"/>
    <w:rsid w:val="4CE03BBE"/>
    <w:rsid w:val="4D471547"/>
    <w:rsid w:val="4D491763"/>
    <w:rsid w:val="4D6D5452"/>
    <w:rsid w:val="4DED20EF"/>
    <w:rsid w:val="4EFD2805"/>
    <w:rsid w:val="4F7725B8"/>
    <w:rsid w:val="4F901B16"/>
    <w:rsid w:val="4F9819BD"/>
    <w:rsid w:val="4FAD05D0"/>
    <w:rsid w:val="506D5769"/>
    <w:rsid w:val="506F328F"/>
    <w:rsid w:val="507C42C9"/>
    <w:rsid w:val="50812FC2"/>
    <w:rsid w:val="50940F47"/>
    <w:rsid w:val="50F66252"/>
    <w:rsid w:val="516F66B5"/>
    <w:rsid w:val="51DB1B1B"/>
    <w:rsid w:val="52443875"/>
    <w:rsid w:val="52501B67"/>
    <w:rsid w:val="528B70C8"/>
    <w:rsid w:val="52A86F2C"/>
    <w:rsid w:val="52D73DA5"/>
    <w:rsid w:val="52F2383B"/>
    <w:rsid w:val="53D33B35"/>
    <w:rsid w:val="544B6C39"/>
    <w:rsid w:val="54E51D72"/>
    <w:rsid w:val="55573E38"/>
    <w:rsid w:val="55592936"/>
    <w:rsid w:val="569A4DDE"/>
    <w:rsid w:val="56AF0889"/>
    <w:rsid w:val="56F97D56"/>
    <w:rsid w:val="570F757A"/>
    <w:rsid w:val="578A6C00"/>
    <w:rsid w:val="57DD31D4"/>
    <w:rsid w:val="581FCC70"/>
    <w:rsid w:val="58627B7D"/>
    <w:rsid w:val="5A867B53"/>
    <w:rsid w:val="5B6559BA"/>
    <w:rsid w:val="5B841BB9"/>
    <w:rsid w:val="5BA165E6"/>
    <w:rsid w:val="5BDC37A3"/>
    <w:rsid w:val="5C3A6E47"/>
    <w:rsid w:val="5D59154F"/>
    <w:rsid w:val="5D654B65"/>
    <w:rsid w:val="5D6D6DA8"/>
    <w:rsid w:val="5D993811"/>
    <w:rsid w:val="5DBF01E4"/>
    <w:rsid w:val="5DC22521"/>
    <w:rsid w:val="5EA835FD"/>
    <w:rsid w:val="5EDF780A"/>
    <w:rsid w:val="5F4973A1"/>
    <w:rsid w:val="5FCE19B0"/>
    <w:rsid w:val="6044581C"/>
    <w:rsid w:val="60926573"/>
    <w:rsid w:val="61677D60"/>
    <w:rsid w:val="61A82AA5"/>
    <w:rsid w:val="61E6537B"/>
    <w:rsid w:val="62742987"/>
    <w:rsid w:val="629F0336"/>
    <w:rsid w:val="62EA0E9B"/>
    <w:rsid w:val="637B0BF4"/>
    <w:rsid w:val="63BF40D6"/>
    <w:rsid w:val="63D731CD"/>
    <w:rsid w:val="63D81DB7"/>
    <w:rsid w:val="645706A8"/>
    <w:rsid w:val="64947310"/>
    <w:rsid w:val="64EC2CA8"/>
    <w:rsid w:val="64EC5A58"/>
    <w:rsid w:val="65C436BF"/>
    <w:rsid w:val="65C47781"/>
    <w:rsid w:val="65D8322D"/>
    <w:rsid w:val="65DA28B8"/>
    <w:rsid w:val="667E08BD"/>
    <w:rsid w:val="673D6CB5"/>
    <w:rsid w:val="67E17B14"/>
    <w:rsid w:val="681C1AF7"/>
    <w:rsid w:val="69021FA8"/>
    <w:rsid w:val="693A4906"/>
    <w:rsid w:val="693C707D"/>
    <w:rsid w:val="696574CD"/>
    <w:rsid w:val="699F0619"/>
    <w:rsid w:val="69B31FE7"/>
    <w:rsid w:val="6A2E78BF"/>
    <w:rsid w:val="6AC344AB"/>
    <w:rsid w:val="6AD450A7"/>
    <w:rsid w:val="6B072251"/>
    <w:rsid w:val="6B1D005F"/>
    <w:rsid w:val="6B9C3AE5"/>
    <w:rsid w:val="6CC62EA5"/>
    <w:rsid w:val="6D6F26C8"/>
    <w:rsid w:val="6D9D7A52"/>
    <w:rsid w:val="6E815495"/>
    <w:rsid w:val="6F0F17AA"/>
    <w:rsid w:val="6FB52F48"/>
    <w:rsid w:val="6FC7CDA8"/>
    <w:rsid w:val="6FF84BF7"/>
    <w:rsid w:val="7052558B"/>
    <w:rsid w:val="7200787E"/>
    <w:rsid w:val="72332FD5"/>
    <w:rsid w:val="72604CD6"/>
    <w:rsid w:val="72FF250F"/>
    <w:rsid w:val="7343262D"/>
    <w:rsid w:val="73745A14"/>
    <w:rsid w:val="73A82490"/>
    <w:rsid w:val="746C1710"/>
    <w:rsid w:val="753D4E5A"/>
    <w:rsid w:val="758B3E18"/>
    <w:rsid w:val="75CF1A0B"/>
    <w:rsid w:val="769431A0"/>
    <w:rsid w:val="76A769D0"/>
    <w:rsid w:val="76CC46E8"/>
    <w:rsid w:val="776E1387"/>
    <w:rsid w:val="77861302"/>
    <w:rsid w:val="778B45A3"/>
    <w:rsid w:val="78094407"/>
    <w:rsid w:val="78866B18"/>
    <w:rsid w:val="78886D34"/>
    <w:rsid w:val="78DA7590"/>
    <w:rsid w:val="792627D5"/>
    <w:rsid w:val="798E39DB"/>
    <w:rsid w:val="7A5749AC"/>
    <w:rsid w:val="7A5C6674"/>
    <w:rsid w:val="7A84226E"/>
    <w:rsid w:val="7AB23BF5"/>
    <w:rsid w:val="7AC027B5"/>
    <w:rsid w:val="7B5829EE"/>
    <w:rsid w:val="7B7C537E"/>
    <w:rsid w:val="7BCC6F38"/>
    <w:rsid w:val="7CB1361B"/>
    <w:rsid w:val="7CBC51FE"/>
    <w:rsid w:val="7D715FE9"/>
    <w:rsid w:val="7D7F5B38"/>
    <w:rsid w:val="7DDB3462"/>
    <w:rsid w:val="7DFF661E"/>
    <w:rsid w:val="7DFF7D95"/>
    <w:rsid w:val="7E186464"/>
    <w:rsid w:val="7E4E1C03"/>
    <w:rsid w:val="7E8C432D"/>
    <w:rsid w:val="7ECC3B69"/>
    <w:rsid w:val="7EEB3B79"/>
    <w:rsid w:val="7F17496E"/>
    <w:rsid w:val="7F533BF8"/>
    <w:rsid w:val="7F65392B"/>
    <w:rsid w:val="8CBF1754"/>
    <w:rsid w:val="BEE267FD"/>
    <w:rsid w:val="BFFD61F5"/>
    <w:rsid w:val="DF15748F"/>
    <w:rsid w:val="DFEF38A5"/>
    <w:rsid w:val="F3DF3293"/>
    <w:rsid w:val="F6FB6B6F"/>
    <w:rsid w:val="FBA76BF3"/>
    <w:rsid w:val="FD9D2919"/>
    <w:rsid w:val="FEDF6122"/>
    <w:rsid w:val="FFFEA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6"/>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link w:val="42"/>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link w:val="4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3"/>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标题 3 字符"/>
    <w:basedOn w:val="34"/>
    <w:link w:val="2"/>
    <w:qFormat/>
    <w:uiPriority w:val="0"/>
    <w:rPr>
      <w:rFonts w:ascii="Times New Roman" w:hAnsi="Times New Roman" w:eastAsia="黑体" w:cs="Times New Roman"/>
      <w:szCs w:val="21"/>
      <w14:ligatures w14:val="none"/>
    </w:rPr>
  </w:style>
  <w:style w:type="character" w:customStyle="1" w:styleId="42">
    <w:name w:val="标题 2 字符"/>
    <w:basedOn w:val="34"/>
    <w:link w:val="4"/>
    <w:qFormat/>
    <w:uiPriority w:val="0"/>
    <w:rPr>
      <w:rFonts w:ascii="Times New Roman" w:hAnsi="Times New Roman" w:eastAsia="黑体" w:cs="Times New Roman"/>
      <w:szCs w:val="21"/>
      <w14:ligatures w14:val="none"/>
    </w:rPr>
  </w:style>
  <w:style w:type="character" w:customStyle="1" w:styleId="43">
    <w:name w:val="标题 4 字符"/>
    <w:basedOn w:val="34"/>
    <w:link w:val="5"/>
    <w:qFormat/>
    <w:uiPriority w:val="0"/>
    <w:rPr>
      <w:rFonts w:ascii="Times New Roman" w:hAnsi="Times New Roman" w:eastAsia="宋体"/>
      <w:b/>
      <w:szCs w:val="21"/>
      <w14:ligatures w14:val="none"/>
    </w:rPr>
  </w:style>
  <w:style w:type="character" w:customStyle="1" w:styleId="44">
    <w:name w:val="页眉 字符"/>
    <w:basedOn w:val="34"/>
    <w:link w:val="18"/>
    <w:qFormat/>
    <w:uiPriority w:val="0"/>
    <w:rPr>
      <w:sz w:val="18"/>
      <w:szCs w:val="18"/>
    </w:rPr>
  </w:style>
  <w:style w:type="character" w:customStyle="1" w:styleId="45">
    <w:name w:val="页脚 字符"/>
    <w:basedOn w:val="34"/>
    <w:link w:val="17"/>
    <w:qFormat/>
    <w:uiPriority w:val="99"/>
    <w:rPr>
      <w:sz w:val="18"/>
      <w:szCs w:val="18"/>
    </w:rPr>
  </w:style>
  <w:style w:type="character" w:customStyle="1" w:styleId="46">
    <w:name w:val="标题 1 字符"/>
    <w:basedOn w:val="34"/>
    <w:link w:val="3"/>
    <w:qFormat/>
    <w:uiPriority w:val="0"/>
    <w:rPr>
      <w:rFonts w:ascii="Times New Roman" w:hAnsi="Times New Roman" w:eastAsia="黑体" w:cs="Times New Roman"/>
      <w:kern w:val="44"/>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paragraph" w:customStyle="1" w:styleId="130">
    <w:name w:val="样式  + 首行缩进:  2 字符"/>
    <w:next w:val="1"/>
    <w:qFormat/>
    <w:uiPriority w:val="0"/>
    <w:pPr>
      <w:widowControl w:val="0"/>
      <w:adjustRightInd w:val="0"/>
      <w:spacing w:line="360" w:lineRule="auto"/>
      <w:ind w:firstLine="524" w:firstLineChars="200"/>
      <w:jc w:val="both"/>
    </w:pPr>
    <w:rPr>
      <w:rFonts w:ascii="宋体" w:hAnsi="宋体" w:eastAsia="宋体" w:cs="Times New Roman"/>
      <w:snapToGrid w:val="0"/>
      <w:spacing w:val="11"/>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78218-4B65-49F7-99C9-D5CD9C57C80D}">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1819</Words>
  <Characters>1935</Characters>
  <Lines>33</Lines>
  <Paragraphs>9</Paragraphs>
  <TotalTime>6</TotalTime>
  <ScaleCrop>false</ScaleCrop>
  <LinksUpToDate>false</LinksUpToDate>
  <CharactersWithSpaces>1998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2024-07-31T17:12:00Z</dcterms:created>
  <dc:creator>Shu Liu</dc:creator>
  <cp:lastModifiedBy>丁雨晴</cp:lastModifiedBy>
  <cp:lastPrinted>2026-03-02T01:22:00Z</cp:lastPrinted>
  <dcterms:modified xsi:type="dcterms:W3CDTF">2026-05-31T09:57:19Z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5A422FF623534EB8BE3FF031D9BA0B8F_13</vt:lpwstr>
  </property>
  <property fmtid="{D5CDD505-2E9C-101B-9397-08002B2CF9AE}" pid="4" name="KSOTemplateDocerSaveRecord">
    <vt:lpwstr>eyJoZGlkIjoiOTA5Njk0Mjc0MWE3MGQzZWMzNWJiNTE5ZDcxOGNlMGQiLCJ1c2VySWQiOiIxNjk4MjcwMjg1In0=</vt:lpwstr>
  </property>
</Properties>
</file>