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B4" w:rsidRDefault="00EC63B4" w:rsidP="00EC63B4">
      <w:pPr>
        <w:widowControl/>
        <w:shd w:val="clear" w:color="auto" w:fill="FFFFFF"/>
        <w:spacing w:line="450" w:lineRule="atLeast"/>
        <w:jc w:val="left"/>
        <w:rPr>
          <w:rFonts w:ascii="仿宋_GB2312" w:eastAsia="仿宋_GB2312" w:hAnsi="Arial" w:cs="Arial"/>
          <w:kern w:val="0"/>
          <w:sz w:val="32"/>
          <w:szCs w:val="32"/>
        </w:rPr>
      </w:pPr>
      <w:r>
        <w:rPr>
          <w:rFonts w:ascii="仿宋_GB2312" w:eastAsia="仿宋_GB2312" w:hAnsi="Arial" w:cs="Arial" w:hint="eastAsia"/>
          <w:b/>
          <w:bCs/>
          <w:kern w:val="0"/>
          <w:sz w:val="32"/>
          <w:szCs w:val="32"/>
        </w:rPr>
        <w:t>附件2</w:t>
      </w:r>
    </w:p>
    <w:p w:rsidR="00EC63B4" w:rsidRDefault="00EC63B4" w:rsidP="00EC63B4">
      <w:pPr>
        <w:widowControl/>
        <w:spacing w:line="600" w:lineRule="exact"/>
        <w:ind w:firstLine="540"/>
        <w:jc w:val="center"/>
        <w:rPr>
          <w:rFonts w:ascii="CESI黑体-GB2312" w:eastAsia="CESI黑体-GB2312" w:hAnsi="CESI黑体-GB2312" w:cs="CESI黑体-GB2312"/>
          <w:kern w:val="0"/>
          <w:sz w:val="44"/>
          <w:szCs w:val="44"/>
        </w:rPr>
      </w:pPr>
      <w:r>
        <w:rPr>
          <w:rFonts w:ascii="CESI黑体-GB2312" w:eastAsia="CESI黑体-GB2312" w:hAnsi="CESI黑体-GB2312" w:cs="CESI黑体-GB2312" w:hint="eastAsia"/>
          <w:kern w:val="0"/>
          <w:sz w:val="44"/>
          <w:szCs w:val="44"/>
        </w:rPr>
        <w:t>危险废物“点对点”定向</w:t>
      </w:r>
    </w:p>
    <w:p w:rsidR="00EC63B4" w:rsidRDefault="00EC63B4" w:rsidP="00EC63B4">
      <w:pPr>
        <w:widowControl/>
        <w:spacing w:line="600" w:lineRule="exact"/>
        <w:ind w:firstLine="540"/>
        <w:jc w:val="center"/>
        <w:rPr>
          <w:rFonts w:ascii="CESI黑体-GB2312" w:eastAsia="CESI黑体-GB2312" w:hAnsi="CESI黑体-GB2312" w:cs="CESI黑体-GB2312"/>
          <w:kern w:val="0"/>
          <w:sz w:val="44"/>
          <w:szCs w:val="44"/>
        </w:rPr>
      </w:pPr>
      <w:r>
        <w:rPr>
          <w:rFonts w:ascii="CESI黑体-GB2312" w:eastAsia="CESI黑体-GB2312" w:hAnsi="CESI黑体-GB2312" w:cs="CESI黑体-GB2312" w:hint="eastAsia"/>
          <w:kern w:val="0"/>
          <w:sz w:val="44"/>
          <w:szCs w:val="44"/>
        </w:rPr>
        <w:t>利用环境风险评估方案</w:t>
      </w:r>
    </w:p>
    <w:p w:rsidR="00EC63B4" w:rsidRDefault="00EC63B4" w:rsidP="00EC63B4">
      <w:pPr>
        <w:widowControl/>
        <w:spacing w:line="600" w:lineRule="exact"/>
        <w:ind w:firstLine="540"/>
        <w:jc w:val="left"/>
        <w:rPr>
          <w:rFonts w:ascii="仿宋_GB2312" w:eastAsia="仿宋_GB2312" w:hAnsi="Arial" w:cs="Arial"/>
          <w:kern w:val="0"/>
          <w:sz w:val="32"/>
          <w:szCs w:val="32"/>
        </w:rPr>
      </w:pPr>
    </w:p>
    <w:p w:rsidR="00EC63B4" w:rsidRDefault="00EC63B4" w:rsidP="00EC63B4">
      <w:pPr>
        <w:widowControl/>
        <w:spacing w:line="600" w:lineRule="exact"/>
        <w:ind w:firstLine="540"/>
        <w:jc w:val="left"/>
        <w:rPr>
          <w:rFonts w:ascii="CESI黑体-GB2312" w:eastAsia="CESI黑体-GB2312" w:hAnsi="CESI黑体-GB2312" w:cs="CESI黑体-GB2312"/>
          <w:kern w:val="0"/>
          <w:sz w:val="32"/>
          <w:szCs w:val="32"/>
        </w:rPr>
      </w:pPr>
      <w:r>
        <w:rPr>
          <w:rFonts w:ascii="CESI黑体-GB2312" w:eastAsia="CESI黑体-GB2312" w:hAnsi="CESI黑体-GB2312" w:cs="CESI黑体-GB2312" w:hint="eastAsia"/>
          <w:kern w:val="0"/>
          <w:sz w:val="32"/>
          <w:szCs w:val="32"/>
        </w:rPr>
        <w:t>一、危险废物产生情况</w:t>
      </w:r>
    </w:p>
    <w:p w:rsidR="00EC63B4" w:rsidRDefault="00EC63B4" w:rsidP="00EC63B4">
      <w:pPr>
        <w:widowControl/>
        <w:spacing w:line="600" w:lineRule="exact"/>
        <w:ind w:firstLine="540"/>
        <w:jc w:val="left"/>
        <w:rPr>
          <w:rFonts w:ascii="仿宋_GB2312" w:eastAsia="仿宋_GB2312" w:hAnsi="Arial" w:cs="Arial"/>
          <w:kern w:val="0"/>
          <w:sz w:val="32"/>
          <w:szCs w:val="32"/>
        </w:rPr>
      </w:pPr>
      <w:r>
        <w:rPr>
          <w:rFonts w:ascii="仿宋_GB2312" w:eastAsia="仿宋_GB2312" w:hAnsi="Arial" w:cs="Arial" w:hint="eastAsia"/>
          <w:kern w:val="0"/>
          <w:sz w:val="32"/>
          <w:szCs w:val="32"/>
        </w:rPr>
        <w:t>危险废物产生单位建设项目环境影响评价、排污许可等制度的落实情况，近一年内经各级生态环境部门危险废物规范化环境管理评估达标情况。</w:t>
      </w:r>
    </w:p>
    <w:p w:rsidR="00EC63B4" w:rsidRDefault="00EC63B4" w:rsidP="00EC63B4">
      <w:pPr>
        <w:widowControl/>
        <w:spacing w:line="600" w:lineRule="exact"/>
        <w:ind w:firstLine="540"/>
        <w:jc w:val="left"/>
        <w:rPr>
          <w:rFonts w:ascii="仿宋_GB2312" w:eastAsia="仿宋_GB2312" w:hAnsi="Arial" w:cs="Arial"/>
          <w:kern w:val="0"/>
          <w:sz w:val="32"/>
          <w:szCs w:val="32"/>
        </w:rPr>
      </w:pPr>
      <w:r>
        <w:rPr>
          <w:rFonts w:ascii="仿宋_GB2312" w:eastAsia="仿宋_GB2312" w:hAnsi="Arial" w:cs="Arial" w:hint="eastAsia"/>
          <w:kern w:val="0"/>
          <w:sz w:val="32"/>
          <w:szCs w:val="32"/>
        </w:rPr>
        <w:t>分析产生单位的主要危险废物产生环节、产生量、主要成分、有毒有害成分及理化特性等，明确废物名称、废物类别和废物代码，分析其是否具有规模较大、品种单一、品质稳定等特点。</w:t>
      </w:r>
    </w:p>
    <w:p w:rsidR="00EC63B4" w:rsidRDefault="00EC63B4" w:rsidP="00EC63B4">
      <w:pPr>
        <w:widowControl/>
        <w:spacing w:line="600" w:lineRule="exact"/>
        <w:ind w:firstLine="540"/>
        <w:jc w:val="left"/>
        <w:rPr>
          <w:rFonts w:ascii="CESI黑体-GB2312" w:eastAsia="CESI黑体-GB2312" w:hAnsi="CESI黑体-GB2312" w:cs="CESI黑体-GB2312"/>
          <w:kern w:val="0"/>
          <w:sz w:val="32"/>
          <w:szCs w:val="32"/>
        </w:rPr>
      </w:pPr>
      <w:r>
        <w:rPr>
          <w:rFonts w:ascii="CESI黑体-GB2312" w:eastAsia="CESI黑体-GB2312" w:hAnsi="CESI黑体-GB2312" w:cs="CESI黑体-GB2312" w:hint="eastAsia"/>
          <w:kern w:val="0"/>
          <w:sz w:val="32"/>
          <w:szCs w:val="32"/>
        </w:rPr>
        <w:t>二、危险废物利用情况</w:t>
      </w:r>
    </w:p>
    <w:p w:rsidR="00EC63B4" w:rsidRDefault="00EC63B4" w:rsidP="00EC63B4">
      <w:pPr>
        <w:widowControl/>
        <w:spacing w:line="600" w:lineRule="exact"/>
        <w:ind w:firstLine="540"/>
        <w:jc w:val="left"/>
        <w:rPr>
          <w:rFonts w:ascii="仿宋_GB2312" w:eastAsia="仿宋_GB2312" w:hAnsi="Arial" w:cs="Arial"/>
          <w:kern w:val="0"/>
          <w:sz w:val="32"/>
          <w:szCs w:val="32"/>
        </w:rPr>
      </w:pPr>
      <w:r>
        <w:rPr>
          <w:rFonts w:ascii="仿宋_GB2312" w:eastAsia="仿宋_GB2312" w:hAnsi="Arial" w:cs="Arial" w:hint="eastAsia"/>
          <w:kern w:val="0"/>
          <w:sz w:val="32"/>
          <w:szCs w:val="32"/>
        </w:rPr>
        <w:t>危险废物综合利用单位建设项目环境影响评价、排污许可等制度的落实情况，近一年内经各级生态环境部门危险废物规范化环境管理评估达标情况。</w:t>
      </w:r>
    </w:p>
    <w:p w:rsidR="00EC63B4" w:rsidRDefault="00EC63B4" w:rsidP="00EC63B4">
      <w:pPr>
        <w:widowControl/>
        <w:spacing w:line="600" w:lineRule="exact"/>
        <w:ind w:firstLine="540"/>
        <w:jc w:val="left"/>
        <w:rPr>
          <w:rFonts w:ascii="仿宋_GB2312" w:eastAsia="仿宋_GB2312" w:hAnsi="Arial" w:cs="Arial"/>
          <w:kern w:val="0"/>
          <w:sz w:val="32"/>
          <w:szCs w:val="32"/>
        </w:rPr>
      </w:pPr>
      <w:r>
        <w:rPr>
          <w:rFonts w:ascii="仿宋_GB2312" w:eastAsia="仿宋_GB2312" w:hAnsi="Arial" w:cs="Arial" w:hint="eastAsia"/>
          <w:kern w:val="0"/>
          <w:sz w:val="32"/>
          <w:szCs w:val="32"/>
        </w:rPr>
        <w:t>参照环评导则，详细分析“点对点”定向利用单位利用工艺的可行性、科学性。对产生单位的危险废物应明确接收标准、年接收数量、检测要求、包装贮存和运输要求、利用工艺及设施、污染防治措施、安全防范措施等内容，确保危险废物利用符合环境管理要求和环境风险可控，明确产生单位的危险废物种类和数量与定向利用单位的利用工艺和设施设备匹配情况。</w:t>
      </w:r>
    </w:p>
    <w:p w:rsidR="00EC63B4" w:rsidRDefault="00EC63B4" w:rsidP="00EC63B4">
      <w:pPr>
        <w:widowControl/>
        <w:spacing w:line="600" w:lineRule="exact"/>
        <w:ind w:firstLineChars="200" w:firstLine="640"/>
        <w:jc w:val="left"/>
        <w:rPr>
          <w:rFonts w:ascii="仿宋_GB2312" w:eastAsia="仿宋_GB2312" w:hAnsi="Arial" w:cs="Arial"/>
          <w:kern w:val="0"/>
          <w:sz w:val="32"/>
          <w:szCs w:val="32"/>
        </w:rPr>
      </w:pPr>
      <w:r>
        <w:rPr>
          <w:rFonts w:ascii="仿宋_GB2312" w:eastAsia="仿宋_GB2312" w:hAnsi="Arial" w:cs="Arial" w:hint="eastAsia"/>
          <w:kern w:val="0"/>
          <w:sz w:val="32"/>
          <w:szCs w:val="32"/>
        </w:rPr>
        <w:t>利用危险废物替代原料生产产品的，产品质量应符合国家、地方或行业通行的产品质量标准，产品中所含有害成分含量符合</w:t>
      </w:r>
      <w:r>
        <w:rPr>
          <w:rFonts w:ascii="仿宋_GB2312" w:eastAsia="仿宋_GB2312" w:hAnsi="Arial" w:cs="Arial" w:hint="eastAsia"/>
          <w:kern w:val="0"/>
          <w:sz w:val="32"/>
          <w:szCs w:val="32"/>
        </w:rPr>
        <w:lastRenderedPageBreak/>
        <w:t>国家规定的限值要求且不高于利用工业原料生产产品中的有害成分含量，生产产品的工艺过程不增加或通过一定的污染控制措施不增加相应污染物排放。</w:t>
      </w:r>
    </w:p>
    <w:p w:rsidR="00EC63B4" w:rsidRDefault="00EC63B4" w:rsidP="00EC63B4">
      <w:pPr>
        <w:widowControl/>
        <w:spacing w:line="600" w:lineRule="exact"/>
        <w:ind w:firstLine="540"/>
        <w:jc w:val="left"/>
        <w:rPr>
          <w:rFonts w:ascii="仿宋_GB2312" w:eastAsia="仿宋_GB2312" w:hAnsi="Arial" w:cs="Arial"/>
          <w:kern w:val="0"/>
          <w:sz w:val="32"/>
          <w:szCs w:val="32"/>
        </w:rPr>
      </w:pPr>
      <w:r>
        <w:rPr>
          <w:rFonts w:ascii="仿宋_GB2312" w:eastAsia="仿宋_GB2312" w:hAnsi="Arial" w:cs="Arial" w:hint="eastAsia"/>
          <w:kern w:val="0"/>
          <w:sz w:val="32"/>
          <w:szCs w:val="32"/>
        </w:rPr>
        <w:t>具有相应的产品质量控制措施和能力，且产品环境风险可控；禁止重金属等有毒有害物质进入养殖行业或食品、药品等供应链企业；分析污染物源强及排放，开展环境影响预测和评价，采取对应的污染防治措施，达到综合利用全过程污染物稳定达标排放要求。</w:t>
      </w:r>
    </w:p>
    <w:p w:rsidR="00EC63B4" w:rsidRDefault="00EC63B4" w:rsidP="00EC63B4">
      <w:pPr>
        <w:widowControl/>
        <w:spacing w:line="600" w:lineRule="exact"/>
        <w:ind w:firstLine="540"/>
        <w:jc w:val="left"/>
        <w:rPr>
          <w:rFonts w:ascii="CESI黑体-GB2312" w:eastAsia="CESI黑体-GB2312" w:hAnsi="CESI黑体-GB2312" w:cs="CESI黑体-GB2312"/>
          <w:kern w:val="0"/>
          <w:sz w:val="32"/>
          <w:szCs w:val="32"/>
        </w:rPr>
      </w:pPr>
      <w:r>
        <w:rPr>
          <w:rFonts w:ascii="CESI黑体-GB2312" w:eastAsia="CESI黑体-GB2312" w:hAnsi="CESI黑体-GB2312" w:cs="CESI黑体-GB2312" w:hint="eastAsia"/>
          <w:kern w:val="0"/>
          <w:sz w:val="32"/>
          <w:szCs w:val="32"/>
        </w:rPr>
        <w:t>三、环境管理要求</w:t>
      </w:r>
    </w:p>
    <w:p w:rsidR="00EC63B4" w:rsidRDefault="00EC63B4" w:rsidP="00EC63B4">
      <w:pPr>
        <w:widowControl/>
        <w:spacing w:line="600" w:lineRule="exact"/>
        <w:ind w:firstLine="540"/>
        <w:jc w:val="left"/>
        <w:rPr>
          <w:rFonts w:ascii="仿宋_GB2312" w:eastAsia="仿宋_GB2312" w:hAnsi="Arial" w:cs="Arial"/>
          <w:kern w:val="0"/>
          <w:sz w:val="32"/>
          <w:szCs w:val="32"/>
        </w:rPr>
      </w:pPr>
      <w:r>
        <w:rPr>
          <w:rFonts w:ascii="仿宋_GB2312" w:eastAsia="仿宋_GB2312" w:hAnsi="Arial" w:cs="Arial" w:hint="eastAsia"/>
          <w:kern w:val="0"/>
          <w:sz w:val="32"/>
          <w:szCs w:val="32"/>
        </w:rPr>
        <w:t>（一）接收、贮存。通过吉林省危险废物全过程智能监管平台开展危险废物转移活动。贮存设施符合《危险废物贮存污染控制标准》等要求。</w:t>
      </w:r>
    </w:p>
    <w:p w:rsidR="00EC63B4" w:rsidRDefault="00EC63B4" w:rsidP="00EC63B4">
      <w:pPr>
        <w:widowControl/>
        <w:spacing w:line="600" w:lineRule="exact"/>
        <w:ind w:firstLine="540"/>
        <w:jc w:val="left"/>
        <w:rPr>
          <w:rFonts w:ascii="仿宋_GB2312" w:eastAsia="仿宋_GB2312" w:hAnsi="Arial" w:cs="Arial"/>
          <w:kern w:val="0"/>
          <w:sz w:val="32"/>
          <w:szCs w:val="32"/>
        </w:rPr>
      </w:pPr>
      <w:r>
        <w:rPr>
          <w:rFonts w:ascii="仿宋_GB2312" w:eastAsia="仿宋_GB2312" w:hAnsi="Arial" w:cs="Arial" w:hint="eastAsia"/>
          <w:kern w:val="0"/>
          <w:sz w:val="32"/>
          <w:szCs w:val="32"/>
        </w:rPr>
        <w:t>（二）日常监测。结合建设项目具体情况，有针对性地提出营运期具有可操作性的环境管理措施与监测计划。</w:t>
      </w:r>
    </w:p>
    <w:p w:rsidR="00EC63B4" w:rsidRDefault="00EC63B4" w:rsidP="00EC63B4">
      <w:pPr>
        <w:widowControl/>
        <w:spacing w:line="600" w:lineRule="exact"/>
        <w:ind w:firstLine="540"/>
        <w:jc w:val="left"/>
        <w:rPr>
          <w:rFonts w:ascii="仿宋_GB2312" w:eastAsia="仿宋_GB2312" w:hAnsi="Arial" w:cs="Arial"/>
          <w:kern w:val="0"/>
          <w:sz w:val="32"/>
          <w:szCs w:val="32"/>
        </w:rPr>
      </w:pPr>
      <w:r>
        <w:rPr>
          <w:rFonts w:ascii="仿宋_GB2312" w:eastAsia="仿宋_GB2312" w:hAnsi="Arial" w:cs="Arial" w:hint="eastAsia"/>
          <w:kern w:val="0"/>
          <w:sz w:val="32"/>
          <w:szCs w:val="32"/>
        </w:rPr>
        <w:t>（三）应急预案。制定应急预案，按规定备案并开展应急演练。</w:t>
      </w:r>
    </w:p>
    <w:p w:rsidR="00EC63B4" w:rsidRDefault="00EC63B4" w:rsidP="00EC63B4">
      <w:pPr>
        <w:widowControl/>
        <w:spacing w:line="600" w:lineRule="exact"/>
        <w:ind w:firstLine="540"/>
        <w:jc w:val="left"/>
        <w:rPr>
          <w:rFonts w:ascii="CESI黑体-GB2312" w:eastAsia="CESI黑体-GB2312" w:hAnsi="CESI黑体-GB2312" w:cs="CESI黑体-GB2312"/>
          <w:kern w:val="0"/>
          <w:sz w:val="32"/>
          <w:szCs w:val="32"/>
        </w:rPr>
      </w:pPr>
      <w:bookmarkStart w:id="0" w:name="_GoBack"/>
      <w:r>
        <w:rPr>
          <w:rFonts w:ascii="CESI黑体-GB2312" w:eastAsia="CESI黑体-GB2312" w:hAnsi="CESI黑体-GB2312" w:cs="CESI黑体-GB2312" w:hint="eastAsia"/>
          <w:kern w:val="0"/>
          <w:sz w:val="32"/>
          <w:szCs w:val="32"/>
        </w:rPr>
        <w:t>四、评估结论</w:t>
      </w:r>
    </w:p>
    <w:bookmarkEnd w:id="0"/>
    <w:p w:rsidR="00EC63B4" w:rsidRDefault="00EC63B4" w:rsidP="00EC63B4">
      <w:pPr>
        <w:widowControl/>
        <w:spacing w:line="600" w:lineRule="exact"/>
        <w:ind w:firstLine="540"/>
        <w:jc w:val="left"/>
        <w:rPr>
          <w:rFonts w:ascii="仿宋_GB2312" w:eastAsia="仿宋_GB2312" w:hAnsi="Arial" w:cs="Arial"/>
          <w:kern w:val="0"/>
          <w:sz w:val="32"/>
          <w:szCs w:val="32"/>
        </w:rPr>
      </w:pPr>
      <w:r>
        <w:rPr>
          <w:rFonts w:ascii="仿宋_GB2312" w:eastAsia="仿宋_GB2312" w:hAnsi="Arial" w:cs="Arial" w:hint="eastAsia"/>
          <w:kern w:val="0"/>
          <w:sz w:val="32"/>
          <w:szCs w:val="32"/>
        </w:rPr>
        <w:t>从环境保护角度，对危险废物“点对点”定向利用项目是否可行、环境风险是否可控、污染物能否稳定达标排放等，产生单位和利用单位提出结论性意见。</w:t>
      </w:r>
    </w:p>
    <w:p w:rsidR="00F776AD" w:rsidRPr="00EC63B4" w:rsidRDefault="00F776AD"/>
    <w:sectPr w:rsidR="00F776AD" w:rsidRPr="00EC63B4" w:rsidSect="001C052D">
      <w:footerReference w:type="default" r:id="rId4"/>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ESI黑体-GB2312">
    <w:altName w:val="微软雅黑"/>
    <w:charset w:val="86"/>
    <w:family w:val="auto"/>
    <w:pitch w:val="default"/>
    <w:sig w:usb0="00000000" w:usb1="184F6CF8" w:usb2="00000012"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2D" w:rsidRDefault="004375EE">
    <w:pPr>
      <w:pStyle w:val="a3"/>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1C052D" w:rsidRDefault="004375EE">
                <w:pPr>
                  <w:pStyle w:val="a3"/>
                </w:pPr>
                <w:r>
                  <w:fldChar w:fldCharType="begin"/>
                </w:r>
                <w:r>
                  <w:instrText xml:space="preserve"> PAGE  \* MERGEFORMAT </w:instrText>
                </w:r>
                <w:r>
                  <w:fldChar w:fldCharType="separate"/>
                </w:r>
                <w:r w:rsidR="00EC63B4">
                  <w:rPr>
                    <w:noProof/>
                  </w:rPr>
                  <w:t>1</w:t>
                </w:r>
                <w: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EC63B4"/>
    <w:rsid w:val="004375EE"/>
    <w:rsid w:val="00EC63B4"/>
    <w:rsid w:val="00F776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3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C63B4"/>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EC63B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2022-07-25T07:12:00Z</dcterms:created>
  <dcterms:modified xsi:type="dcterms:W3CDTF">2022-07-25T07:12:00Z</dcterms:modified>
</cp:coreProperties>
</file>