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3</w:t>
      </w:r>
      <w:r>
        <w:rPr>
          <w:rFonts w:hint="eastAsia" w:ascii="宋体" w:hAnsi="宋体"/>
          <w:b/>
          <w:bCs/>
          <w:color w:val="000000"/>
          <w:sz w:val="44"/>
        </w:rPr>
        <w:t>年</w:t>
      </w:r>
      <w:r>
        <w:rPr>
          <w:rFonts w:hint="eastAsia" w:ascii="宋体" w:hAnsi="宋体"/>
          <w:b/>
          <w:bCs/>
          <w:color w:val="000000"/>
          <w:sz w:val="44"/>
          <w:lang w:val="en-US" w:eastAsia="zh-CN"/>
        </w:rPr>
        <w:t>9</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2023年4月28日至2025年11月22日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1.收集、贮存、清洗处置900-003-04中的农药直接接触或含有农药残余物的废弃包装物，年经营规模30000吨；900-041-49含有或沾染毒性危险废物的废弃包装物、容器，年经营规模20000吨。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年经营规模30000吨；HWO8废矿物油与含矿物油废物中的251-001-08、251-005-08、900-199-08、900-200-08、900-201-08、900-203-08、900-204-08、900-209-08、900-214-08、900-215-08、900-216-08、900-217-08、900-218-08、900-219-08、900-220-08、900-249-08、398-001-08、291-001-08，年经营规模4000吨;HW09油/水、烃/水混合物或乳化液，年经营规模2000吨;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年经营规模30000吨，HW12染料、涂料废液中的 264-011-12、264-013-12、900-250-12、900-251-12、900-252-12、900-253-12、900-254-12、900-256-12、900-299-12，年经营规模2000吨;HW13有机树脂类废物中的265-101-13、265-102-13、265-103-13、900-014-13、900-016-13，年经营规模2000吨:HW34废酸中的251-014-34、264-013-34、261-057-34、313-001-34、336-105-34、398-005-34、398-006-34、398-007-34、900-300-34、900-301-34、900-302-34、900-303-34、900-304-34、900-306-34、900-307-34、900-349-34，年经营规模2000吨:HW35废碱，年经营规模2000吨:HW39含酚废物，年经营规模1000吨;HW49其他废物中的900-042-49、900-047-49（一次性实验用品、包装物、过滤吸附介质除外），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2023年3月17日至2024年3月16日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收集、贮存、利用HW06中的900-404-06，年经营规模3606吨/年；收集、贮存、利用HW11中的900-013-11，年经营规模10000吨/年。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2023年7月13日至2024年7月12日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三线水泥窑协同处置吉林省厚德再生资源有限公司生产的替代性燃料16000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它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7.三线水泥窑协同处置吉林省德龙环保科技有限公司生产的替代性燃料10000吨/年，替代性燃料包含的危险废物为：HW08废矿物油与含矿物油废物中非特定行业900-200-08、900-209-08，年经营规模1000吨；HW12燃料、涂料废物中非特定行业900-250-12、900-251-12、900-252-12、900-253-12、900-254-12、900-255-12、900-256-12、900-299-12，年经营规模2500吨；HW13有机树脂类废物中非特定行业900-014-13，年经营规模2000吨；HW17 表面处理废物中金属表面处理及热处理加工行业336-064-17，年经营规模2300吨；HW49其它废物中非特定行业900-039-49、900-041-49，年经营规模2099吨。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2023年3月17日至2025年10月8日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w:t>
            </w:r>
          </w:p>
          <w:p>
            <w:pPr>
              <w:ind w:firstLine="464" w:firstLineChars="200"/>
              <w:rPr>
                <w:rFonts w:hint="eastAsia" w:ascii="仿宋_GB2312" w:eastAsia="仿宋_GB2312"/>
                <w:spacing w:val="-4"/>
                <w:sz w:val="24"/>
              </w:rPr>
            </w:pPr>
            <w:r>
              <w:rPr>
                <w:rFonts w:hint="eastAsia" w:ascii="仿宋_GB2312" w:eastAsia="仿宋_GB2312"/>
                <w:spacing w:val="-4"/>
                <w:sz w:val="24"/>
              </w:rPr>
              <w:t>2.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w:t>
            </w:r>
          </w:p>
          <w:p>
            <w:pPr>
              <w:ind w:firstLine="464" w:firstLineChars="200"/>
              <w:rPr>
                <w:rFonts w:hint="eastAsia" w:ascii="仿宋_GB2312" w:eastAsia="仿宋_GB2312"/>
                <w:spacing w:val="-4"/>
                <w:sz w:val="24"/>
              </w:rPr>
            </w:pPr>
            <w:r>
              <w:rPr>
                <w:rFonts w:hint="eastAsia" w:ascii="仿宋_GB2312" w:eastAsia="仿宋_GB2312"/>
                <w:spacing w:val="-4"/>
                <w:sz w:val="24"/>
              </w:rPr>
              <w:t>3.收集、贮存、清洗HW49其他废物中非特定行业900-041-49沾有HW06废有机溶剂与含有机溶剂废物、HW08废矿物油与含矿物油废物、HW09油/水、烃/水混合物或乳化液、HW12染料、涂料废物、HW13有机树脂类废物、HW34废酸、HW35废碱的废弃包装桶为4670吨/年（其中：吨桶2500吨/年，其余规格2170吨/年）。</w:t>
            </w:r>
          </w:p>
          <w:p>
            <w:pPr>
              <w:ind w:firstLine="464" w:firstLineChars="200"/>
              <w:rPr>
                <w:rFonts w:hint="eastAsia" w:ascii="仿宋_GB2312" w:eastAsia="仿宋_GB2312"/>
                <w:spacing w:val="-4"/>
                <w:sz w:val="24"/>
              </w:rPr>
            </w:pPr>
            <w:r>
              <w:rPr>
                <w:rFonts w:hint="eastAsia" w:ascii="仿宋_GB2312" w:eastAsia="仿宋_GB2312"/>
                <w:spacing w:val="-4"/>
                <w:sz w:val="24"/>
              </w:rPr>
              <w:t>4.收集、贮存、清洗HW49其他废物中非特定行业中900-041-49废含油擦布（手套）100吨/年。</w:t>
            </w:r>
          </w:p>
          <w:p>
            <w:pPr>
              <w:ind w:firstLine="464" w:firstLineChars="200"/>
              <w:rPr>
                <w:rFonts w:hint="eastAsia" w:ascii="仿宋_GB2312" w:eastAsia="仿宋_GB2312"/>
                <w:spacing w:val="-4"/>
                <w:sz w:val="24"/>
              </w:rPr>
            </w:pPr>
            <w:r>
              <w:rPr>
                <w:rFonts w:hint="eastAsia" w:ascii="仿宋_GB2312" w:eastAsia="仿宋_GB2312"/>
                <w:spacing w:val="-4"/>
                <w:sz w:val="24"/>
              </w:rPr>
              <w:t>5.收集、贮存、委托处置HW12染料、涂料废物中非特定行业900-299-12废墨盒为1000吨/年；HW29含汞废物中非特定行业900-023-29为500吨/年；900-044-49荧光粉为100吨/年。</w:t>
            </w:r>
          </w:p>
          <w:p>
            <w:pPr>
              <w:ind w:firstLine="464" w:firstLineChars="200"/>
              <w:rPr>
                <w:rFonts w:hint="eastAsia" w:ascii="仿宋_GB2312" w:eastAsia="仿宋_GB2312"/>
                <w:spacing w:val="-4"/>
                <w:sz w:val="24"/>
              </w:rPr>
            </w:pPr>
            <w:r>
              <w:rPr>
                <w:rFonts w:hint="eastAsia" w:ascii="仿宋_GB2312" w:eastAsia="仿宋_GB2312"/>
                <w:spacing w:val="-4"/>
                <w:sz w:val="24"/>
              </w:rPr>
              <w:t>6.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16000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7.收集、贮存、委托处置HW31含铅废物中非特定行业900-052-31废铅蓄电池，年经营规模10万吨。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both"/>
              <w:rPr>
                <w:rFonts w:ascii="仿宋_GB2312" w:hAnsi="宋体" w:eastAsia="仿宋_GB2312"/>
                <w:bCs/>
                <w:sz w:val="24"/>
              </w:rPr>
            </w:pPr>
            <w:r>
              <w:rPr>
                <w:rFonts w:hint="eastAsia" w:ascii="仿宋_GB2312" w:hAnsi="宋体" w:eastAsia="仿宋_GB2312"/>
                <w:bCs/>
                <w:sz w:val="24"/>
              </w:rPr>
              <w:t>2023年3月17日至2026年8月12日。收集、贮存、委托处置HW31含铅废物中非特定行业900-052-31废铅蓄电池有效期限至2024年8月12日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綦文东</w:t>
            </w:r>
            <w:bookmarkStart w:id="4" w:name="_GoBack"/>
            <w:bookmarkEnd w:id="4"/>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ilvl w:val="0"/>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w:t>
            </w:r>
            <w:bookmarkStart w:id="0" w:name="OLE_LINK19"/>
            <w:bookmarkStart w:id="1" w:name="OLE_LINK18"/>
            <w:bookmarkStart w:id="2" w:name="OLE_LINK17"/>
            <w:bookmarkStart w:id="3" w:name="OLE_LINK22"/>
            <w:r>
              <w:rPr>
                <w:rFonts w:hint="eastAsia" w:ascii="仿宋_GB2312" w:hAnsi="宋体" w:eastAsia="仿宋_GB2312" w:cs="Times New Roman"/>
                <w:kern w:val="2"/>
                <w:sz w:val="24"/>
                <w:szCs w:val="24"/>
                <w:lang w:val="en-US" w:eastAsia="zh-CN" w:bidi="ar-SA"/>
              </w:rPr>
              <w:t>HW08废矿物油与含矿物油废物中废润滑油900-214-08、900</w:t>
            </w:r>
            <w:r>
              <w:rPr>
                <w:rFonts w:hint="eastAsia" w:ascii="仿宋_GB2312" w:hAnsi="宋体" w:eastAsia="仿宋_GB2312"/>
                <w:sz w:val="24"/>
                <w:lang w:val="en-US" w:eastAsia="zh-CN"/>
              </w:rPr>
              <w:t>-</w:t>
            </w:r>
            <w:r>
              <w:rPr>
                <w:rFonts w:hint="eastAsia" w:ascii="仿宋_GB2312" w:hAnsi="宋体" w:eastAsia="仿宋_GB2312" w:cs="Times New Roman"/>
                <w:kern w:val="2"/>
                <w:sz w:val="24"/>
                <w:szCs w:val="24"/>
                <w:lang w:val="en-US" w:eastAsia="zh-CN" w:bidi="ar-SA"/>
              </w:rPr>
              <w:t>217-08，废液压油900-218-08，废矿物油900-199-08、900-200-08、900-203-08、900-204-08、900-205-08、900-249-08</w:t>
            </w:r>
            <w:bookmarkEnd w:id="0"/>
            <w:bookmarkEnd w:id="1"/>
            <w:bookmarkEnd w:id="2"/>
            <w:bookmarkEnd w:id="3"/>
            <w:r>
              <w:rPr>
                <w:rFonts w:hint="eastAsia" w:ascii="仿宋_GB2312" w:hAnsi="宋体" w:eastAsia="仿宋_GB2312" w:cs="Times New Roman"/>
                <w:kern w:val="2"/>
                <w:sz w:val="24"/>
                <w:szCs w:val="24"/>
                <w:lang w:val="en-US" w:eastAsia="zh-CN" w:bidi="ar-SA"/>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2023年4月28日至2024年4月27日。收集、贮存、委托处置HW31含铅废物中非特定行业900-052-31废铅蓄电池有效期至2024年11月14日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废矿物油与含矿物油废物HW08中900-200-08、900-209-08，年经营规模1000吨；燃料、涂料废物HW12中900-250-12、900-251-12、900-252-12、900-253-12、900-254-12、900-255-12、900-256-12、900-299-12，年经营规模2500吨；有机树脂类废物HW13中900-014-13，年经营规模2000吨；表面处理废物中金属表面处理及热处理加工行业HW17 中336-064-17，年经营规模2300吨；其他废物HW49中900-039-49、900-041-49，年经营规模2099吨，合计年经营规模9899吨。用于生产替代性燃料并委托吉林亚泰水泥有限公司3线水泥窑进行协同处置。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3.收集、贮存、清洗处置其他废物HW49中含有或沾染HW12染料、涂料废物的废弃包装桶900-041-49，年经营规模4500吨。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4.收集、贮存、利用HW50废催化剂环境治理中772-007-50烟气脱硝过程中产生的废钒钛系催化剂，年经营规模15000吨（即30000m</w:t>
            </w:r>
            <w:r>
              <w:rPr>
                <w:rFonts w:hint="eastAsia" w:ascii="仿宋_GB2312" w:hAnsi="宋体" w:eastAsia="仿宋_GB2312"/>
                <w:sz w:val="24"/>
                <w:vertAlign w:val="superscript"/>
              </w:rPr>
              <w:t>3</w:t>
            </w:r>
            <w:r>
              <w:rPr>
                <w:rFonts w:hint="eastAsia" w:ascii="仿宋_GB2312" w:hAnsi="宋体" w:eastAsia="仿宋_GB2312"/>
                <w:sz w:val="24"/>
              </w:rPr>
              <w:t>）。</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2023年4月28日至2024年3月16日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2023年5月12日至2028年5月11日。收集、贮存、委托处置HW31含铅废物中非特定行业900-052-31废铅蓄电池有效期至2024年1月25日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2023年3月14日至2028年3月13日。收集、贮存、委托处置HW31含铅废物中非特定行业900-052-31废铅蓄电池有效期至2024年1月20日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2023年2月13日至2024年2月12日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2023年3月6日至2024年3月5日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邓建明</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长春东湖铜业有限公司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宋士军</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p>
            <w:pPr>
              <w:ind w:firstLine="480" w:firstLineChars="200"/>
              <w:rPr>
                <w:rFonts w:ascii="仿宋_GB2312" w:eastAsia="仿宋_GB2312"/>
                <w:sz w:val="24"/>
              </w:rPr>
            </w:pPr>
            <w:r>
              <w:rPr>
                <w:rFonts w:hint="eastAsia" w:ascii="仿宋_GB2312" w:eastAsia="仿宋_GB2312"/>
                <w:sz w:val="24"/>
              </w:rPr>
              <w:t>收集、贮存、利用(生产沥青基防水卷材辅料)HW06废有机溶剂与含有机溶剂废物年经营规模8500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8500t；HW12染料、涂料废物264-011-12、264-012-12、264-013-12、900-250-12、900-251-12、900-252-12、900-253-12、900-254-12、900-256-12、900-299-12，年经营规模2000t；HW13有机树脂类废物年经营规模1500t；HW18焚烧处置残渣772-003-18，年经营规模1000t；HW35废碱年经营规模1000t；HW37有机磷化合物废物261-061-37，年经营规模500t；HW49其他废物900-039-49，年经营规模3900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2022年09月02日至2023年09月01日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吉林凯莱英医药化学有限公司（一厂）和吉林凯莱英制药有限公司（二厂）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2022年11月16日至2027年11月15日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251-001-08、251-002-08、251-003-08、251-005-08、251-006-08、251-010-08、900-199-08、900-200-08、900-201-08、900-203-08、900-210-08、900-213-08、900-214-08、900-217-08、900-218-08、900-221-08、900-249-08其他生产、销售、使用过程中产生的废矿物油，年经营规模8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2022年8月15日至2023年8月14日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2023年3月17日至2028年3月16日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2022年8月1日至2023年7月31日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收集、贮存、委托处置废铅蓄电池有效期限为2022年09月14日至2025年09月13日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18343273999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收集、贮存、处置含氰废水261-064-38，经营规模为21.204万吨/年（20万m3/a）。</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含处置261-064-38后产生的废液，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2023年4月18日至2024年4月17日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    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2023年4月28日至2024年4月27日。收集、贮存、委托处置HW31含铅废物中非特定行业900-052-31废铅蓄电池有效期为：2023年4月28日至2026年4月27日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18744591888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2023年7月13日至2024年7月12日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收集、贮存、利用HW08废矿物油与含矿物油废物071-001-08、251-002-08、251-003-08、251-004-08、251-006-08、251-010-08、900-210-08、900-221-08、900-249-08（不包括沾染矿物油的废弃包装物），年经营规模15万吨。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p>
        </w:tc>
        <w:tc>
          <w:tcPr>
            <w:tcW w:w="1842" w:type="dxa"/>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18643121888</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2D33B5CD"/>
    <w:rsid w:val="34FD7DF8"/>
    <w:rsid w:val="376D8465"/>
    <w:rsid w:val="37FF7B39"/>
    <w:rsid w:val="3BF74665"/>
    <w:rsid w:val="3CBD0605"/>
    <w:rsid w:val="3E3FE607"/>
    <w:rsid w:val="3EF98B97"/>
    <w:rsid w:val="3F4C8990"/>
    <w:rsid w:val="3FE72372"/>
    <w:rsid w:val="3FEF9EB8"/>
    <w:rsid w:val="3FF9C700"/>
    <w:rsid w:val="47571381"/>
    <w:rsid w:val="4BBDF20D"/>
    <w:rsid w:val="4DB684C4"/>
    <w:rsid w:val="512F311F"/>
    <w:rsid w:val="57FDD011"/>
    <w:rsid w:val="59EF44AD"/>
    <w:rsid w:val="5B7BFA31"/>
    <w:rsid w:val="5C2EEC68"/>
    <w:rsid w:val="5C33D253"/>
    <w:rsid w:val="5FDFC0B7"/>
    <w:rsid w:val="5FFF9AB5"/>
    <w:rsid w:val="64FFC199"/>
    <w:rsid w:val="66DF32D6"/>
    <w:rsid w:val="69793247"/>
    <w:rsid w:val="6D7DC9C5"/>
    <w:rsid w:val="6DD3893E"/>
    <w:rsid w:val="6EF7259E"/>
    <w:rsid w:val="6F7BF47A"/>
    <w:rsid w:val="6FBF52D3"/>
    <w:rsid w:val="6FDB615F"/>
    <w:rsid w:val="6FFF4E62"/>
    <w:rsid w:val="6FFF8962"/>
    <w:rsid w:val="73FFA17A"/>
    <w:rsid w:val="7574BE48"/>
    <w:rsid w:val="7797F0F5"/>
    <w:rsid w:val="77CFBA88"/>
    <w:rsid w:val="77FF28F0"/>
    <w:rsid w:val="7A4FE7AE"/>
    <w:rsid w:val="7A6D76E5"/>
    <w:rsid w:val="7B7A2857"/>
    <w:rsid w:val="7C5C3D32"/>
    <w:rsid w:val="7CFFE6E2"/>
    <w:rsid w:val="7D7560E5"/>
    <w:rsid w:val="7DB28A2C"/>
    <w:rsid w:val="7DF7D01D"/>
    <w:rsid w:val="7ECFB5AC"/>
    <w:rsid w:val="7EDE480C"/>
    <w:rsid w:val="7F3364B1"/>
    <w:rsid w:val="7F3CE460"/>
    <w:rsid w:val="7F53C142"/>
    <w:rsid w:val="7F6EFE4D"/>
    <w:rsid w:val="7F73AF8D"/>
    <w:rsid w:val="7FBF4A2E"/>
    <w:rsid w:val="7FF7104A"/>
    <w:rsid w:val="93E934AA"/>
    <w:rsid w:val="9B99661C"/>
    <w:rsid w:val="9F573D59"/>
    <w:rsid w:val="A67BC6E5"/>
    <w:rsid w:val="A6C758E0"/>
    <w:rsid w:val="A8CFC178"/>
    <w:rsid w:val="AE9BD429"/>
    <w:rsid w:val="B7CC6AA1"/>
    <w:rsid w:val="BA7B23C6"/>
    <w:rsid w:val="BBDF8EA2"/>
    <w:rsid w:val="BBF7D99B"/>
    <w:rsid w:val="BCBD25F4"/>
    <w:rsid w:val="BE74B4EC"/>
    <w:rsid w:val="BEF6412A"/>
    <w:rsid w:val="BF477CAC"/>
    <w:rsid w:val="BFF6562E"/>
    <w:rsid w:val="CDFBA65B"/>
    <w:rsid w:val="CF8DC27B"/>
    <w:rsid w:val="CFFD8C2F"/>
    <w:rsid w:val="D3B70B46"/>
    <w:rsid w:val="D6FC85CB"/>
    <w:rsid w:val="D74BE2DB"/>
    <w:rsid w:val="DBFBE794"/>
    <w:rsid w:val="DEC31B93"/>
    <w:rsid w:val="DEE79E18"/>
    <w:rsid w:val="E43B28DB"/>
    <w:rsid w:val="E63D83E2"/>
    <w:rsid w:val="EBB6D304"/>
    <w:rsid w:val="EDF99F2E"/>
    <w:rsid w:val="EEFD985E"/>
    <w:rsid w:val="EF2A356C"/>
    <w:rsid w:val="EFFE262A"/>
    <w:rsid w:val="EFFE733F"/>
    <w:rsid w:val="F3B5C81A"/>
    <w:rsid w:val="F7CD1F17"/>
    <w:rsid w:val="F7F71086"/>
    <w:rsid w:val="FAEFC1A6"/>
    <w:rsid w:val="FBF3105B"/>
    <w:rsid w:val="FDFA893E"/>
    <w:rsid w:val="FDFF095F"/>
    <w:rsid w:val="FE1B7F85"/>
    <w:rsid w:val="FE7CD8D2"/>
    <w:rsid w:val="FEFF1D1B"/>
    <w:rsid w:val="FF37FD43"/>
    <w:rsid w:val="FF6C7270"/>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1</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2022-02-15T14:42:00Z</dcterms:created>
  <dc:creator>jing.guo</dc:creator>
  <cp:lastModifiedBy>uos</cp:lastModifiedBy>
  <cp:lastPrinted>2018-11-19T18:18:00Z</cp:lastPrinted>
  <dcterms:modified xsi:type="dcterms:W3CDTF">2023-10-13T14:23:24Z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